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BDB23">
      <w:pPr>
        <w:pStyle w:val="35"/>
        <w:tabs>
          <w:tab w:val="clear" w:pos="6195"/>
        </w:tabs>
        <w:adjustRightInd/>
        <w:spacing w:line="360" w:lineRule="auto"/>
        <w:jc w:val="both"/>
        <w:rPr>
          <w:rFonts w:ascii="仿宋" w:hAnsi="仿宋" w:eastAsia="仿宋" w:cs="仿宋"/>
          <w:bCs/>
          <w:szCs w:val="21"/>
        </w:rPr>
      </w:pPr>
      <w:r>
        <w:rPr>
          <w:rFonts w:ascii="仿宋" w:hAnsi="仿宋" w:eastAsia="仿宋" w:cs="仿宋"/>
          <w:bCs/>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bCs/>
          <w:szCs w:val="21"/>
        </w:rPr>
        <w:instrText xml:space="preserve">ADDIN CNKISM.UserStyle</w:instrText>
      </w:r>
      <w:r>
        <w:rPr>
          <w:rFonts w:ascii="仿宋" w:hAnsi="仿宋" w:eastAsia="仿宋" w:cs="仿宋"/>
          <w:bCs/>
          <w:szCs w:val="21"/>
        </w:rPr>
        <w:fldChar w:fldCharType="end"/>
      </w:r>
    </w:p>
    <w:p w14:paraId="09818C04">
      <w:pPr>
        <w:pStyle w:val="35"/>
        <w:tabs>
          <w:tab w:val="clear" w:pos="6195"/>
        </w:tabs>
        <w:adjustRightInd/>
        <w:spacing w:line="360" w:lineRule="auto"/>
        <w:rPr>
          <w:rFonts w:ascii="仿宋" w:hAnsi="仿宋" w:eastAsia="仿宋" w:cs="仿宋"/>
          <w:b/>
          <w:bCs/>
          <w:color w:val="000000" w:themeColor="text1"/>
          <w:sz w:val="48"/>
          <w:szCs w:val="48"/>
        </w:rPr>
      </w:pPr>
    </w:p>
    <w:p w14:paraId="018F3912">
      <w:pPr>
        <w:pStyle w:val="35"/>
        <w:tabs>
          <w:tab w:val="clear" w:pos="6195"/>
        </w:tabs>
        <w:adjustRightInd/>
        <w:spacing w:line="360" w:lineRule="auto"/>
        <w:rPr>
          <w:rFonts w:hint="eastAsia" w:ascii="方正小标宋_GBK" w:hAnsi="仿宋" w:eastAsia="方正小标宋_GBK" w:cs="仿宋"/>
          <w:bCs/>
          <w:color w:val="000000" w:themeColor="text1"/>
          <w:sz w:val="44"/>
          <w:szCs w:val="44"/>
        </w:rPr>
      </w:pPr>
      <w:r>
        <w:rPr>
          <w:rFonts w:hint="eastAsia" w:ascii="方正小标宋_GBK" w:hAnsi="仿宋" w:eastAsia="方正小标宋_GBK" w:cs="仿宋"/>
          <w:bCs/>
          <w:color w:val="000000" w:themeColor="text1"/>
          <w:sz w:val="44"/>
          <w:szCs w:val="44"/>
        </w:rPr>
        <w:t>中国科学院昆明植物研究所</w:t>
      </w:r>
    </w:p>
    <w:p w14:paraId="15E705DE">
      <w:pPr>
        <w:pStyle w:val="35"/>
        <w:tabs>
          <w:tab w:val="clear" w:pos="6195"/>
        </w:tabs>
        <w:adjustRightInd/>
        <w:spacing w:line="360" w:lineRule="auto"/>
        <w:rPr>
          <w:rFonts w:hint="eastAsia" w:ascii="方正小标宋_GBK" w:hAnsi="仿宋" w:eastAsia="方正小标宋_GBK" w:cs="仿宋"/>
          <w:bCs/>
          <w:sz w:val="44"/>
          <w:szCs w:val="44"/>
        </w:rPr>
      </w:pPr>
      <w:r>
        <w:rPr>
          <w:rFonts w:hint="eastAsia" w:ascii="方正小标宋_GBK" w:hAnsi="仿宋" w:eastAsia="方正小标宋_GBK" w:cs="仿宋"/>
          <w:bCs/>
          <w:color w:val="000000" w:themeColor="text1"/>
          <w:sz w:val="44"/>
          <w:szCs w:val="44"/>
        </w:rPr>
        <w:t>水资源取水许可证办理服务采购文件</w:t>
      </w:r>
    </w:p>
    <w:p w14:paraId="55714ED2">
      <w:pPr>
        <w:pStyle w:val="35"/>
        <w:tabs>
          <w:tab w:val="clear" w:pos="6195"/>
        </w:tabs>
        <w:adjustRightInd/>
        <w:spacing w:line="360" w:lineRule="auto"/>
        <w:jc w:val="both"/>
        <w:rPr>
          <w:rFonts w:hint="eastAsia" w:ascii="方正小标宋_GBK" w:hAnsi="仿宋" w:eastAsia="方正小标宋_GBK" w:cs="仿宋"/>
          <w:bCs/>
          <w:sz w:val="44"/>
          <w:szCs w:val="44"/>
        </w:rPr>
      </w:pPr>
    </w:p>
    <w:p w14:paraId="051D60D3">
      <w:pPr>
        <w:pStyle w:val="35"/>
        <w:tabs>
          <w:tab w:val="clear" w:pos="6195"/>
        </w:tabs>
        <w:adjustRightInd/>
        <w:spacing w:line="360" w:lineRule="auto"/>
        <w:jc w:val="both"/>
        <w:rPr>
          <w:rFonts w:ascii="仿宋" w:hAnsi="仿宋" w:eastAsia="仿宋" w:cs="仿宋"/>
          <w:bCs/>
          <w:sz w:val="22"/>
        </w:rPr>
      </w:pPr>
    </w:p>
    <w:p w14:paraId="424A3717">
      <w:pPr>
        <w:pStyle w:val="35"/>
        <w:tabs>
          <w:tab w:val="clear" w:pos="6195"/>
        </w:tabs>
        <w:adjustRightInd/>
        <w:spacing w:line="360" w:lineRule="auto"/>
        <w:jc w:val="both"/>
        <w:rPr>
          <w:rFonts w:ascii="仿宋" w:hAnsi="仿宋" w:eastAsia="仿宋" w:cs="仿宋"/>
          <w:bCs/>
          <w:sz w:val="22"/>
        </w:rPr>
      </w:pPr>
    </w:p>
    <w:p w14:paraId="16CB4CF1">
      <w:pPr>
        <w:spacing w:line="360" w:lineRule="auto"/>
        <w:jc w:val="center"/>
        <w:rPr>
          <w:rFonts w:ascii="仿宋" w:hAnsi="仿宋" w:eastAsia="仿宋" w:cs="仿宋"/>
          <w:b/>
          <w:bCs/>
          <w:sz w:val="32"/>
          <w:szCs w:val="36"/>
        </w:rPr>
      </w:pPr>
    </w:p>
    <w:p w14:paraId="0EC32F6B">
      <w:pPr>
        <w:spacing w:line="360" w:lineRule="auto"/>
        <w:rPr>
          <w:rFonts w:ascii="仿宋" w:hAnsi="仿宋" w:eastAsia="仿宋" w:cs="仿宋"/>
          <w:sz w:val="22"/>
        </w:rPr>
      </w:pPr>
    </w:p>
    <w:p w14:paraId="469DEF40">
      <w:pPr>
        <w:spacing w:line="360" w:lineRule="auto"/>
        <w:rPr>
          <w:rFonts w:ascii="仿宋" w:hAnsi="仿宋" w:eastAsia="仿宋" w:cs="仿宋"/>
          <w:sz w:val="22"/>
        </w:rPr>
      </w:pPr>
    </w:p>
    <w:p w14:paraId="0935E9A2">
      <w:pPr>
        <w:pStyle w:val="31"/>
        <w:rPr>
          <w:rFonts w:ascii="仿宋" w:hAnsi="仿宋" w:eastAsia="仿宋" w:cs="仿宋"/>
          <w:color w:val="auto"/>
          <w:sz w:val="28"/>
          <w:szCs w:val="28"/>
        </w:rPr>
      </w:pPr>
    </w:p>
    <w:p w14:paraId="7FFCE7FA">
      <w:pPr>
        <w:spacing w:line="360" w:lineRule="auto"/>
        <w:rPr>
          <w:rFonts w:ascii="仿宋" w:hAnsi="仿宋" w:eastAsia="仿宋" w:cs="仿宋"/>
          <w:sz w:val="22"/>
        </w:rPr>
      </w:pPr>
    </w:p>
    <w:p w14:paraId="7CF07B82">
      <w:pPr>
        <w:pStyle w:val="5"/>
        <w:spacing w:before="156"/>
        <w:ind w:firstLine="420"/>
        <w:rPr>
          <w:rFonts w:ascii="仿宋" w:hAnsi="仿宋" w:eastAsia="仿宋" w:cs="仿宋"/>
        </w:rPr>
      </w:pPr>
    </w:p>
    <w:p w14:paraId="0250C8D3">
      <w:pPr>
        <w:tabs>
          <w:tab w:val="left" w:pos="5835"/>
        </w:tabs>
        <w:spacing w:line="360" w:lineRule="auto"/>
        <w:rPr>
          <w:rFonts w:ascii="仿宋" w:hAnsi="仿宋" w:eastAsia="仿宋" w:cs="仿宋"/>
          <w:sz w:val="22"/>
        </w:rPr>
      </w:pPr>
      <w:r>
        <w:rPr>
          <w:rFonts w:hint="eastAsia" w:ascii="仿宋" w:hAnsi="仿宋" w:eastAsia="仿宋" w:cs="仿宋"/>
          <w:sz w:val="22"/>
        </w:rPr>
        <w:tab/>
      </w:r>
    </w:p>
    <w:p w14:paraId="52881DCC">
      <w:pPr>
        <w:spacing w:before="100" w:beforeAutospacing="1" w:after="100" w:afterAutospacing="1" w:line="600" w:lineRule="exact"/>
        <w:jc w:val="center"/>
        <w:rPr>
          <w:rFonts w:ascii="仿宋" w:hAnsi="仿宋" w:eastAsia="仿宋" w:cs="仿宋"/>
          <w:b/>
          <w:bCs/>
          <w:sz w:val="32"/>
        </w:rPr>
      </w:pPr>
      <w:r>
        <w:rPr>
          <w:rFonts w:hint="eastAsia" w:ascii="仿宋" w:hAnsi="仿宋" w:eastAsia="仿宋" w:cs="仿宋"/>
          <w:b/>
          <w:bCs/>
          <w:sz w:val="32"/>
        </w:rPr>
        <w:t>采  购 人：中国科学院昆明植物研究所</w:t>
      </w:r>
    </w:p>
    <w:p w14:paraId="4E2AC7F1">
      <w:pPr>
        <w:spacing w:line="360" w:lineRule="auto"/>
        <w:ind w:firstLine="1600" w:firstLineChars="500"/>
        <w:rPr>
          <w:rFonts w:ascii="仿宋" w:hAnsi="仿宋" w:eastAsia="仿宋" w:cs="仿宋"/>
          <w:b/>
          <w:bCs/>
          <w:sz w:val="32"/>
          <w:szCs w:val="36"/>
        </w:rPr>
      </w:pPr>
      <w:r>
        <w:rPr>
          <w:rFonts w:hint="eastAsia" w:ascii="仿宋" w:hAnsi="仿宋" w:eastAsia="仿宋" w:cs="仿宋"/>
          <w:b/>
          <w:bCs/>
          <w:sz w:val="32"/>
          <w:szCs w:val="36"/>
        </w:rPr>
        <w:t>项目编号：KIBKC094</w:t>
      </w:r>
    </w:p>
    <w:p w14:paraId="74F1AC99">
      <w:pPr>
        <w:spacing w:before="100" w:beforeAutospacing="1" w:after="100" w:afterAutospacing="1" w:line="600" w:lineRule="exact"/>
        <w:jc w:val="center"/>
        <w:rPr>
          <w:rFonts w:ascii="仿宋" w:hAnsi="仿宋" w:eastAsia="仿宋" w:cs="仿宋"/>
          <w:b/>
          <w:bCs/>
          <w:sz w:val="32"/>
        </w:rPr>
      </w:pPr>
    </w:p>
    <w:p w14:paraId="75F24B8D">
      <w:pPr>
        <w:spacing w:line="720" w:lineRule="exact"/>
        <w:jc w:val="center"/>
        <w:rPr>
          <w:rFonts w:ascii="仿宋" w:hAnsi="仿宋" w:eastAsia="仿宋" w:cs="仿宋"/>
          <w:b/>
          <w:bCs/>
          <w:sz w:val="32"/>
        </w:rPr>
      </w:pPr>
      <w:bookmarkStart w:id="0" w:name="_Toc180579126"/>
      <w:bookmarkStart w:id="1" w:name="_Toc192647764"/>
      <w:bookmarkStart w:id="2" w:name="_Toc184440884"/>
      <w:bookmarkStart w:id="3" w:name="_Toc184440680"/>
      <w:bookmarkStart w:id="4" w:name="_Toc175477161"/>
      <w:r>
        <w:rPr>
          <w:rFonts w:hint="eastAsia" w:ascii="仿宋" w:hAnsi="仿宋" w:eastAsia="仿宋" w:cs="仿宋"/>
          <w:b/>
          <w:bCs/>
          <w:sz w:val="32"/>
        </w:rPr>
        <w:t>二○二五年六月</w:t>
      </w:r>
      <w:bookmarkEnd w:id="0"/>
      <w:bookmarkEnd w:id="1"/>
      <w:bookmarkEnd w:id="2"/>
      <w:bookmarkEnd w:id="3"/>
      <w:bookmarkEnd w:id="4"/>
    </w:p>
    <w:p w14:paraId="0AA278BE">
      <w:pPr>
        <w:pStyle w:val="60"/>
        <w:jc w:val="center"/>
        <w:rPr>
          <w:rFonts w:ascii="仿宋" w:hAnsi="仿宋" w:eastAsia="仿宋" w:cs="仿宋"/>
          <w:color w:val="auto"/>
          <w:kern w:val="2"/>
          <w:sz w:val="21"/>
          <w:szCs w:val="22"/>
          <w:lang w:val="zh-CN"/>
        </w:rPr>
        <w:sectPr>
          <w:pgSz w:w="11906" w:h="16838"/>
          <w:pgMar w:top="1247" w:right="1418" w:bottom="1247" w:left="1418" w:header="851" w:footer="992" w:gutter="0"/>
          <w:cols w:space="0" w:num="1"/>
          <w:docGrid w:type="linesAndChars" w:linePitch="312" w:charSpace="0"/>
        </w:sectPr>
      </w:pPr>
    </w:p>
    <w:sdt>
      <w:sdtPr>
        <w:rPr>
          <w:rFonts w:hint="eastAsia" w:ascii="仿宋" w:hAnsi="仿宋" w:eastAsia="仿宋" w:cs="仿宋"/>
          <w:b/>
          <w:bCs/>
          <w:color w:val="auto"/>
          <w:kern w:val="2"/>
          <w:sz w:val="21"/>
          <w:szCs w:val="22"/>
          <w:lang w:val="zh-CN"/>
        </w:rPr>
        <w:id w:val="1478496751"/>
        <w:docPartObj>
          <w:docPartGallery w:val="Table of Contents"/>
          <w:docPartUnique/>
        </w:docPartObj>
      </w:sdtPr>
      <w:sdtEndPr>
        <w:rPr>
          <w:rFonts w:hint="eastAsia" w:ascii="仿宋" w:hAnsi="仿宋" w:eastAsia="仿宋" w:cs="仿宋"/>
          <w:b/>
          <w:bCs/>
          <w:color w:val="auto"/>
          <w:kern w:val="2"/>
          <w:sz w:val="24"/>
          <w:szCs w:val="24"/>
          <w:lang w:val="zh-CN"/>
        </w:rPr>
      </w:sdtEndPr>
      <w:sdtContent>
        <w:p w14:paraId="1BD5BABE">
          <w:pPr>
            <w:pStyle w:val="60"/>
            <w:jc w:val="center"/>
            <w:rPr>
              <w:rFonts w:ascii="仿宋" w:hAnsi="仿宋" w:eastAsia="仿宋" w:cs="仿宋"/>
              <w:b/>
              <w:bCs/>
              <w:color w:val="auto"/>
            </w:rPr>
          </w:pPr>
          <w:r>
            <w:rPr>
              <w:rFonts w:hint="eastAsia" w:ascii="仿宋" w:hAnsi="仿宋" w:eastAsia="仿宋" w:cs="仿宋"/>
              <w:b/>
              <w:bCs/>
              <w:color w:val="auto"/>
              <w:lang w:val="zh-CN"/>
            </w:rPr>
            <w:t>目录</w:t>
          </w:r>
        </w:p>
        <w:p w14:paraId="0FFB738C">
          <w:pPr>
            <w:pStyle w:val="21"/>
            <w:tabs>
              <w:tab w:val="right" w:leader="dot" w:pos="9070"/>
            </w:tabs>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\u </w:instrText>
          </w:r>
          <w:r>
            <w:rPr>
              <w:rFonts w:hint="eastAsia" w:ascii="仿宋" w:hAnsi="仿宋" w:eastAsia="仿宋" w:cs="仿宋"/>
              <w:sz w:val="21"/>
              <w:szCs w:val="21"/>
            </w:rPr>
            <w:fldChar w:fldCharType="separate"/>
          </w:r>
          <w:r>
            <w:fldChar w:fldCharType="begin"/>
          </w:r>
          <w:r>
            <w:instrText xml:space="preserve"> HYPERLINK \l "_Toc20544" </w:instrText>
          </w:r>
          <w:r>
            <w:fldChar w:fldCharType="separate"/>
          </w:r>
          <w:r>
            <w:rPr>
              <w:rFonts w:hint="eastAsia" w:ascii="仿宋" w:hAnsi="仿宋" w:eastAsia="仿宋" w:cs="仿宋"/>
              <w:bCs/>
              <w:szCs w:val="24"/>
            </w:rPr>
            <w:t>一、项目基本情况</w:t>
          </w:r>
          <w:r>
            <w:tab/>
          </w:r>
          <w:r>
            <w:fldChar w:fldCharType="begin"/>
          </w:r>
          <w:r>
            <w:instrText xml:space="preserve"> PAGEREF _Toc20544 \h </w:instrText>
          </w:r>
          <w:r>
            <w:fldChar w:fldCharType="separate"/>
          </w:r>
          <w:r>
            <w:t>2</w:t>
          </w:r>
          <w:r>
            <w:fldChar w:fldCharType="end"/>
          </w:r>
          <w:r>
            <w:fldChar w:fldCharType="end"/>
          </w:r>
        </w:p>
        <w:p w14:paraId="30CB8C9B">
          <w:pPr>
            <w:pStyle w:val="21"/>
            <w:tabs>
              <w:tab w:val="right" w:leader="dot" w:pos="9070"/>
            </w:tabs>
            <w:rPr>
              <w:rFonts w:ascii="仿宋" w:hAnsi="仿宋" w:eastAsia="仿宋" w:cs="仿宋"/>
              <w:szCs w:val="21"/>
              <w:lang w:val="zh-CN"/>
            </w:rPr>
          </w:pPr>
          <w:r>
            <w:fldChar w:fldCharType="begin"/>
          </w:r>
          <w:r>
            <w:instrText xml:space="preserve"> HYPERLINK \l "_Toc13622" </w:instrText>
          </w:r>
          <w:r>
            <w:fldChar w:fldCharType="separate"/>
          </w:r>
          <w:r>
            <w:rPr>
              <w:rFonts w:hint="eastAsia" w:ascii="仿宋" w:hAnsi="仿宋" w:eastAsia="仿宋" w:cs="仿宋"/>
              <w:bCs/>
              <w:szCs w:val="24"/>
            </w:rPr>
            <w:t>二、申请人的资格要求：</w:t>
          </w:r>
          <w:r>
            <w:tab/>
          </w:r>
          <w:r>
            <w:fldChar w:fldCharType="begin"/>
          </w:r>
          <w:r>
            <w:instrText xml:space="preserve"> PAGEREF _Toc13622 \h </w:instrText>
          </w:r>
          <w:r>
            <w:fldChar w:fldCharType="separate"/>
          </w:r>
          <w:r>
            <w:t>4</w:t>
          </w:r>
          <w:r>
            <w:fldChar w:fldCharType="end"/>
          </w:r>
          <w:r>
            <w:fldChar w:fldCharType="end"/>
          </w:r>
        </w:p>
        <w:p w14:paraId="12D1D12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三、获取采购文件</w:t>
          </w:r>
        </w:p>
        <w:p w14:paraId="1748DE4C">
          <w:pPr>
            <w:pStyle w:val="21"/>
            <w:tabs>
              <w:tab w:val="right" w:leader="dot" w:pos="9070"/>
            </w:tabs>
            <w:ind w:left="0" w:leftChars="0" w:firstLine="480" w:firstLineChars="200"/>
          </w:pPr>
          <w:r>
            <w:fldChar w:fldCharType="begin"/>
          </w:r>
          <w:r>
            <w:instrText xml:space="preserve"> HYPERLINK \l "_Toc1811" </w:instrText>
          </w:r>
          <w:r>
            <w:fldChar w:fldCharType="separate"/>
          </w:r>
          <w:r>
            <w:rPr>
              <w:rFonts w:hint="eastAsia" w:ascii="仿宋" w:hAnsi="仿宋" w:eastAsia="仿宋" w:cs="仿宋"/>
              <w:bCs/>
              <w:szCs w:val="24"/>
            </w:rPr>
            <w:t>四、响应文件提交</w:t>
          </w:r>
          <w:r>
            <w:tab/>
          </w:r>
          <w:r>
            <w:fldChar w:fldCharType="begin"/>
          </w:r>
          <w:r>
            <w:instrText xml:space="preserve"> PAGEREF _Toc1811 \h </w:instrText>
          </w:r>
          <w:r>
            <w:fldChar w:fldCharType="separate"/>
          </w:r>
          <w:r>
            <w:t>5</w:t>
          </w:r>
          <w:r>
            <w:fldChar w:fldCharType="end"/>
          </w:r>
          <w:r>
            <w:fldChar w:fldCharType="end"/>
          </w:r>
        </w:p>
        <w:p w14:paraId="310D0CA5">
          <w:pPr>
            <w:pStyle w:val="21"/>
            <w:tabs>
              <w:tab w:val="right" w:leader="dot" w:pos="9070"/>
            </w:tabs>
          </w:pPr>
          <w:r>
            <w:fldChar w:fldCharType="begin"/>
          </w:r>
          <w:r>
            <w:instrText xml:space="preserve"> HYPERLINK \l "_Toc21291" </w:instrText>
          </w:r>
          <w:r>
            <w:fldChar w:fldCharType="separate"/>
          </w:r>
          <w:r>
            <w:rPr>
              <w:rFonts w:hint="eastAsia" w:ascii="仿宋" w:hAnsi="仿宋" w:eastAsia="仿宋" w:cs="仿宋"/>
              <w:bCs/>
              <w:szCs w:val="24"/>
            </w:rPr>
            <w:t>五、开启</w:t>
          </w:r>
          <w:r>
            <w:tab/>
          </w:r>
          <w:r>
            <w:fldChar w:fldCharType="begin"/>
          </w:r>
          <w:r>
            <w:instrText xml:space="preserve"> PAGEREF _Toc21291 \h </w:instrText>
          </w:r>
          <w:r>
            <w:fldChar w:fldCharType="separate"/>
          </w:r>
          <w:r>
            <w:t>5</w:t>
          </w:r>
          <w:r>
            <w:fldChar w:fldCharType="end"/>
          </w:r>
          <w:r>
            <w:fldChar w:fldCharType="end"/>
          </w:r>
        </w:p>
        <w:p w14:paraId="05928319">
          <w:pPr>
            <w:pStyle w:val="21"/>
            <w:tabs>
              <w:tab w:val="right" w:leader="dot" w:pos="9070"/>
            </w:tabs>
          </w:pPr>
          <w:r>
            <w:fldChar w:fldCharType="begin"/>
          </w:r>
          <w:r>
            <w:instrText xml:space="preserve"> HYPERLINK \l "_Toc7686" </w:instrText>
          </w:r>
          <w:r>
            <w:fldChar w:fldCharType="separate"/>
          </w:r>
          <w:r>
            <w:rPr>
              <w:rFonts w:hint="eastAsia" w:ascii="仿宋" w:hAnsi="仿宋" w:eastAsia="仿宋" w:cs="仿宋"/>
              <w:bCs/>
              <w:szCs w:val="24"/>
            </w:rPr>
            <w:t>六、公告期限</w:t>
          </w:r>
          <w:r>
            <w:tab/>
          </w:r>
          <w:r>
            <w:fldChar w:fldCharType="begin"/>
          </w:r>
          <w:r>
            <w:instrText xml:space="preserve"> PAGEREF _Toc7686 \h </w:instrText>
          </w:r>
          <w:r>
            <w:fldChar w:fldCharType="separate"/>
          </w:r>
          <w:r>
            <w:t>5</w:t>
          </w:r>
          <w:r>
            <w:fldChar w:fldCharType="end"/>
          </w:r>
          <w:r>
            <w:fldChar w:fldCharType="end"/>
          </w:r>
        </w:p>
        <w:p w14:paraId="5997C739">
          <w:pPr>
            <w:pStyle w:val="21"/>
            <w:tabs>
              <w:tab w:val="right" w:leader="dot" w:pos="9070"/>
            </w:tabs>
          </w:pPr>
          <w:r>
            <w:fldChar w:fldCharType="begin"/>
          </w:r>
          <w:r>
            <w:instrText xml:space="preserve"> HYPERLINK \l "_Toc4991" </w:instrText>
          </w:r>
          <w:r>
            <w:fldChar w:fldCharType="separate"/>
          </w:r>
          <w:r>
            <w:rPr>
              <w:rFonts w:hint="eastAsia" w:ascii="仿宋" w:hAnsi="仿宋" w:eastAsia="仿宋" w:cs="仿宋"/>
              <w:bCs/>
              <w:szCs w:val="24"/>
            </w:rPr>
            <w:t>七、其他补充事宜</w:t>
          </w:r>
          <w:r>
            <w:tab/>
          </w:r>
          <w:r>
            <w:fldChar w:fldCharType="begin"/>
          </w:r>
          <w:r>
            <w:instrText xml:space="preserve"> PAGEREF _Toc4991 \h </w:instrText>
          </w:r>
          <w:r>
            <w:fldChar w:fldCharType="separate"/>
          </w:r>
          <w:r>
            <w:t>5</w:t>
          </w:r>
          <w:r>
            <w:fldChar w:fldCharType="end"/>
          </w:r>
          <w:r>
            <w:fldChar w:fldCharType="end"/>
          </w:r>
        </w:p>
        <w:p w14:paraId="0234B633">
          <w:pPr>
            <w:pStyle w:val="21"/>
            <w:tabs>
              <w:tab w:val="right" w:leader="dot" w:pos="9070"/>
            </w:tabs>
          </w:pPr>
          <w:r>
            <w:fldChar w:fldCharType="begin"/>
          </w:r>
          <w:r>
            <w:instrText xml:space="preserve"> HYPERLINK \l "_Toc18086" </w:instrText>
          </w:r>
          <w:r>
            <w:fldChar w:fldCharType="separate"/>
          </w:r>
          <w:r>
            <w:rPr>
              <w:rFonts w:hint="eastAsia" w:ascii="仿宋" w:hAnsi="仿宋" w:eastAsia="仿宋" w:cs="仿宋"/>
              <w:bCs/>
              <w:szCs w:val="24"/>
            </w:rPr>
            <w:t>八、对本次采购提出询问，请按以下方式联系</w:t>
          </w:r>
          <w:r>
            <w:tab/>
          </w:r>
          <w:r>
            <w:fldChar w:fldCharType="begin"/>
          </w:r>
          <w:r>
            <w:instrText xml:space="preserve"> PAGEREF _Toc18086 \h </w:instrText>
          </w:r>
          <w:r>
            <w:fldChar w:fldCharType="separate"/>
          </w:r>
          <w:r>
            <w:t>6</w:t>
          </w:r>
          <w:r>
            <w:fldChar w:fldCharType="end"/>
          </w:r>
          <w:r>
            <w:fldChar w:fldCharType="end"/>
          </w:r>
        </w:p>
        <w:p w14:paraId="6C06EA4B">
          <w:pPr>
            <w:pStyle w:val="20"/>
            <w:tabs>
              <w:tab w:val="right" w:leader="dot" w:pos="9070"/>
            </w:tabs>
          </w:pPr>
          <w:r>
            <w:fldChar w:fldCharType="begin"/>
          </w:r>
          <w:r>
            <w:instrText xml:space="preserve"> HYPERLINK \l "_Toc29033" </w:instrText>
          </w:r>
          <w:r>
            <w:fldChar w:fldCharType="separate"/>
          </w:r>
          <w:r>
            <w:rPr>
              <w:rFonts w:hint="eastAsia" w:ascii="仿宋" w:hAnsi="仿宋" w:eastAsia="仿宋" w:cs="仿宋"/>
              <w:iCs/>
              <w:szCs w:val="44"/>
            </w:rPr>
            <w:t>第二章 供应商须知</w:t>
          </w:r>
          <w:r>
            <w:tab/>
          </w:r>
          <w:r>
            <w:fldChar w:fldCharType="begin"/>
          </w:r>
          <w:r>
            <w:instrText xml:space="preserve"> PAGEREF _Toc29033 \h </w:instrText>
          </w:r>
          <w:r>
            <w:fldChar w:fldCharType="separate"/>
          </w:r>
          <w:r>
            <w:t>7</w:t>
          </w:r>
          <w:r>
            <w:fldChar w:fldCharType="end"/>
          </w:r>
          <w:r>
            <w:fldChar w:fldCharType="end"/>
          </w:r>
        </w:p>
        <w:p w14:paraId="659AEF8E">
          <w:pPr>
            <w:pStyle w:val="21"/>
            <w:tabs>
              <w:tab w:val="right" w:leader="dot" w:pos="9070"/>
            </w:tabs>
          </w:pPr>
          <w:r>
            <w:fldChar w:fldCharType="begin"/>
          </w:r>
          <w:r>
            <w:instrText xml:space="preserve"> HYPERLINK \l "_Toc26539" </w:instrText>
          </w:r>
          <w:r>
            <w:fldChar w:fldCharType="separate"/>
          </w:r>
          <w:r>
            <w:rPr>
              <w:rFonts w:hint="eastAsia" w:ascii="仿宋" w:hAnsi="仿宋" w:eastAsia="仿宋" w:cs="仿宋"/>
              <w:bCs/>
              <w:szCs w:val="24"/>
            </w:rPr>
            <w:t>一、总  则</w:t>
          </w:r>
          <w:r>
            <w:tab/>
          </w:r>
          <w:r>
            <w:fldChar w:fldCharType="begin"/>
          </w:r>
          <w:r>
            <w:instrText xml:space="preserve"> PAGEREF _Toc26539 \h </w:instrText>
          </w:r>
          <w:r>
            <w:fldChar w:fldCharType="separate"/>
          </w:r>
          <w:r>
            <w:t>10</w:t>
          </w:r>
          <w:r>
            <w:fldChar w:fldCharType="end"/>
          </w:r>
          <w:r>
            <w:fldChar w:fldCharType="end"/>
          </w:r>
        </w:p>
        <w:p w14:paraId="5A6D3B7B">
          <w:pPr>
            <w:pStyle w:val="21"/>
            <w:tabs>
              <w:tab w:val="right" w:leader="dot" w:pos="9070"/>
            </w:tabs>
          </w:pPr>
          <w:r>
            <w:fldChar w:fldCharType="begin"/>
          </w:r>
          <w:r>
            <w:instrText xml:space="preserve"> HYPERLINK \l "_Toc28807" </w:instrText>
          </w:r>
          <w:r>
            <w:fldChar w:fldCharType="separate"/>
          </w:r>
          <w:r>
            <w:rPr>
              <w:rFonts w:hint="eastAsia" w:ascii="仿宋" w:hAnsi="仿宋" w:eastAsia="仿宋" w:cs="仿宋"/>
              <w:bCs/>
              <w:szCs w:val="24"/>
            </w:rPr>
            <w:t>二、采购文件</w:t>
          </w:r>
          <w:r>
            <w:tab/>
          </w:r>
          <w:r>
            <w:fldChar w:fldCharType="begin"/>
          </w:r>
          <w:r>
            <w:instrText xml:space="preserve"> PAGEREF _Toc28807 \h </w:instrText>
          </w:r>
          <w:r>
            <w:fldChar w:fldCharType="separate"/>
          </w:r>
          <w:r>
            <w:t>12</w:t>
          </w:r>
          <w:r>
            <w:fldChar w:fldCharType="end"/>
          </w:r>
          <w:r>
            <w:fldChar w:fldCharType="end"/>
          </w:r>
        </w:p>
        <w:p w14:paraId="1EE663F7">
          <w:pPr>
            <w:pStyle w:val="21"/>
            <w:tabs>
              <w:tab w:val="right" w:leader="dot" w:pos="9070"/>
            </w:tabs>
          </w:pPr>
          <w:r>
            <w:fldChar w:fldCharType="begin"/>
          </w:r>
          <w:r>
            <w:instrText xml:space="preserve"> HYPERLINK \l "_Toc20136" </w:instrText>
          </w:r>
          <w:r>
            <w:fldChar w:fldCharType="separate"/>
          </w:r>
          <w:r>
            <w:rPr>
              <w:rFonts w:hint="eastAsia" w:ascii="仿宋" w:hAnsi="仿宋" w:eastAsia="仿宋" w:cs="仿宋"/>
              <w:bCs/>
              <w:szCs w:val="24"/>
            </w:rPr>
            <w:t>三、响应文件的编制</w:t>
          </w:r>
          <w:r>
            <w:tab/>
          </w:r>
          <w:r>
            <w:fldChar w:fldCharType="begin"/>
          </w:r>
          <w:r>
            <w:instrText xml:space="preserve"> PAGEREF _Toc20136 \h </w:instrText>
          </w:r>
          <w:r>
            <w:fldChar w:fldCharType="separate"/>
          </w:r>
          <w:r>
            <w:t>13</w:t>
          </w:r>
          <w:r>
            <w:fldChar w:fldCharType="end"/>
          </w:r>
          <w:r>
            <w:fldChar w:fldCharType="end"/>
          </w:r>
        </w:p>
        <w:p w14:paraId="79F2A5CC">
          <w:pPr>
            <w:pStyle w:val="21"/>
            <w:tabs>
              <w:tab w:val="right" w:leader="dot" w:pos="9070"/>
            </w:tabs>
          </w:pPr>
          <w:r>
            <w:fldChar w:fldCharType="begin"/>
          </w:r>
          <w:r>
            <w:instrText xml:space="preserve"> HYPERLINK \l "_Toc28368" </w:instrText>
          </w:r>
          <w:r>
            <w:fldChar w:fldCharType="separate"/>
          </w:r>
          <w:r>
            <w:rPr>
              <w:rFonts w:hint="eastAsia" w:ascii="仿宋" w:hAnsi="仿宋" w:eastAsia="仿宋" w:cs="仿宋"/>
              <w:bCs/>
              <w:szCs w:val="24"/>
            </w:rPr>
            <w:t>四、响应文件的提交</w:t>
          </w:r>
          <w:r>
            <w:tab/>
          </w:r>
          <w:r>
            <w:fldChar w:fldCharType="begin"/>
          </w:r>
          <w:r>
            <w:instrText xml:space="preserve"> PAGEREF _Toc28368 \h </w:instrText>
          </w:r>
          <w:r>
            <w:fldChar w:fldCharType="separate"/>
          </w:r>
          <w:r>
            <w:t>16</w:t>
          </w:r>
          <w:r>
            <w:fldChar w:fldCharType="end"/>
          </w:r>
          <w:r>
            <w:fldChar w:fldCharType="end"/>
          </w:r>
        </w:p>
        <w:p w14:paraId="51CD229E">
          <w:pPr>
            <w:pStyle w:val="21"/>
            <w:tabs>
              <w:tab w:val="right" w:leader="dot" w:pos="9070"/>
            </w:tabs>
          </w:pPr>
          <w:r>
            <w:fldChar w:fldCharType="begin"/>
          </w:r>
          <w:r>
            <w:instrText xml:space="preserve"> HYPERLINK \l "_Toc22167" </w:instrText>
          </w:r>
          <w:r>
            <w:fldChar w:fldCharType="separate"/>
          </w:r>
          <w:r>
            <w:rPr>
              <w:rFonts w:hint="eastAsia" w:ascii="仿宋" w:hAnsi="仿宋" w:eastAsia="仿宋" w:cs="仿宋"/>
              <w:bCs/>
              <w:szCs w:val="24"/>
            </w:rPr>
            <w:t>五、开标与评标</w:t>
          </w:r>
          <w:r>
            <w:tab/>
          </w:r>
          <w:r>
            <w:fldChar w:fldCharType="begin"/>
          </w:r>
          <w:r>
            <w:instrText xml:space="preserve"> PAGEREF _Toc22167 \h </w:instrText>
          </w:r>
          <w:r>
            <w:fldChar w:fldCharType="separate"/>
          </w:r>
          <w:r>
            <w:t>16</w:t>
          </w:r>
          <w:r>
            <w:fldChar w:fldCharType="end"/>
          </w:r>
          <w:r>
            <w:fldChar w:fldCharType="end"/>
          </w:r>
        </w:p>
        <w:p w14:paraId="76BAD62D">
          <w:pPr>
            <w:pStyle w:val="21"/>
            <w:tabs>
              <w:tab w:val="right" w:leader="dot" w:pos="9070"/>
            </w:tabs>
          </w:pPr>
          <w:r>
            <w:fldChar w:fldCharType="begin"/>
          </w:r>
          <w:r>
            <w:instrText xml:space="preserve"> HYPERLINK \l "_Toc11826" </w:instrText>
          </w:r>
          <w:r>
            <w:fldChar w:fldCharType="separate"/>
          </w:r>
          <w:r>
            <w:rPr>
              <w:rFonts w:hint="eastAsia" w:ascii="仿宋" w:hAnsi="仿宋" w:eastAsia="仿宋" w:cs="仿宋"/>
              <w:bCs/>
              <w:szCs w:val="24"/>
            </w:rPr>
            <w:t>六、中标结果</w:t>
          </w:r>
          <w:r>
            <w:tab/>
          </w:r>
          <w:r>
            <w:fldChar w:fldCharType="begin"/>
          </w:r>
          <w:r>
            <w:instrText xml:space="preserve"> PAGEREF _Toc11826 \h </w:instrText>
          </w:r>
          <w:r>
            <w:fldChar w:fldCharType="separate"/>
          </w:r>
          <w:r>
            <w:t>18</w:t>
          </w:r>
          <w:r>
            <w:fldChar w:fldCharType="end"/>
          </w:r>
          <w:r>
            <w:fldChar w:fldCharType="end"/>
          </w:r>
        </w:p>
        <w:p w14:paraId="774F167D">
          <w:pPr>
            <w:pStyle w:val="21"/>
            <w:tabs>
              <w:tab w:val="right" w:leader="dot" w:pos="9070"/>
            </w:tabs>
          </w:pPr>
          <w:r>
            <w:fldChar w:fldCharType="begin"/>
          </w:r>
          <w:r>
            <w:instrText xml:space="preserve"> HYPERLINK \l "_Toc14690" </w:instrText>
          </w:r>
          <w:r>
            <w:fldChar w:fldCharType="separate"/>
          </w:r>
          <w:r>
            <w:rPr>
              <w:rFonts w:hint="eastAsia" w:ascii="仿宋" w:hAnsi="仿宋" w:eastAsia="仿宋" w:cs="仿宋"/>
              <w:bCs/>
              <w:szCs w:val="24"/>
            </w:rPr>
            <w:t>七、其他事项</w:t>
          </w:r>
          <w:r>
            <w:tab/>
          </w:r>
          <w:r>
            <w:fldChar w:fldCharType="begin"/>
          </w:r>
          <w:r>
            <w:instrText xml:space="preserve"> PAGEREF _Toc14690 \h </w:instrText>
          </w:r>
          <w:r>
            <w:fldChar w:fldCharType="separate"/>
          </w:r>
          <w:r>
            <w:t>19</w:t>
          </w:r>
          <w:r>
            <w:fldChar w:fldCharType="end"/>
          </w:r>
          <w:r>
            <w:fldChar w:fldCharType="end"/>
          </w:r>
        </w:p>
        <w:p w14:paraId="0B447101">
          <w:pPr>
            <w:pStyle w:val="20"/>
            <w:tabs>
              <w:tab w:val="right" w:leader="dot" w:pos="9070"/>
            </w:tabs>
          </w:pPr>
          <w:r>
            <w:fldChar w:fldCharType="begin"/>
          </w:r>
          <w:r>
            <w:instrText xml:space="preserve"> HYPERLINK \l "_Toc32320" </w:instrText>
          </w:r>
          <w:r>
            <w:fldChar w:fldCharType="separate"/>
          </w:r>
          <w:r>
            <w:rPr>
              <w:rFonts w:hint="eastAsia" w:ascii="仿宋" w:hAnsi="仿宋" w:eastAsia="仿宋" w:cs="仿宋"/>
              <w:iCs/>
              <w:szCs w:val="44"/>
            </w:rPr>
            <w:t>第三章 资格审查</w:t>
          </w:r>
          <w:r>
            <w:tab/>
          </w:r>
          <w:r>
            <w:fldChar w:fldCharType="begin"/>
          </w:r>
          <w:r>
            <w:instrText xml:space="preserve"> PAGEREF _Toc32320 \h </w:instrText>
          </w:r>
          <w:r>
            <w:fldChar w:fldCharType="separate"/>
          </w:r>
          <w:r>
            <w:t>22</w:t>
          </w:r>
          <w:r>
            <w:fldChar w:fldCharType="end"/>
          </w:r>
          <w:r>
            <w:fldChar w:fldCharType="end"/>
          </w:r>
        </w:p>
        <w:p w14:paraId="04B45CE5">
          <w:pPr>
            <w:pStyle w:val="20"/>
            <w:tabs>
              <w:tab w:val="right" w:leader="dot" w:pos="9070"/>
            </w:tabs>
          </w:pPr>
          <w:r>
            <w:fldChar w:fldCharType="begin"/>
          </w:r>
          <w:r>
            <w:instrText xml:space="preserve"> HYPERLINK \l "_Toc25577" </w:instrText>
          </w:r>
          <w:r>
            <w:fldChar w:fldCharType="separate"/>
          </w:r>
          <w:r>
            <w:rPr>
              <w:rFonts w:hint="eastAsia" w:ascii="仿宋" w:hAnsi="仿宋" w:eastAsia="仿宋" w:cs="仿宋"/>
              <w:iCs/>
              <w:szCs w:val="44"/>
            </w:rPr>
            <w:t>第四章评标办法（综合评分法）</w:t>
          </w:r>
          <w:r>
            <w:tab/>
          </w:r>
          <w:r>
            <w:fldChar w:fldCharType="begin"/>
          </w:r>
          <w:r>
            <w:instrText xml:space="preserve"> PAGEREF _Toc25577 \h </w:instrText>
          </w:r>
          <w:r>
            <w:fldChar w:fldCharType="separate"/>
          </w:r>
          <w:r>
            <w:t>24</w:t>
          </w:r>
          <w:r>
            <w:fldChar w:fldCharType="end"/>
          </w:r>
          <w:r>
            <w:fldChar w:fldCharType="end"/>
          </w:r>
        </w:p>
        <w:p w14:paraId="364D63F9">
          <w:pPr>
            <w:pStyle w:val="20"/>
            <w:tabs>
              <w:tab w:val="right" w:leader="dot" w:pos="9070"/>
            </w:tabs>
          </w:pPr>
          <w:r>
            <w:fldChar w:fldCharType="begin"/>
          </w:r>
          <w:r>
            <w:instrText xml:space="preserve"> HYPERLINK \l "_Toc15930" </w:instrText>
          </w:r>
          <w:r>
            <w:fldChar w:fldCharType="separate"/>
          </w:r>
          <w:r>
            <w:rPr>
              <w:rFonts w:hint="eastAsia" w:ascii="仿宋" w:hAnsi="仿宋" w:eastAsia="仿宋" w:cs="仿宋"/>
              <w:szCs w:val="44"/>
            </w:rPr>
            <w:t>第五章  合同书样式及主要条款</w:t>
          </w:r>
          <w:r>
            <w:tab/>
          </w:r>
          <w:r>
            <w:fldChar w:fldCharType="begin"/>
          </w:r>
          <w:r>
            <w:instrText xml:space="preserve"> PAGEREF _Toc15930 \h </w:instrText>
          </w:r>
          <w:r>
            <w:fldChar w:fldCharType="separate"/>
          </w:r>
          <w:r>
            <w:t>30</w:t>
          </w:r>
          <w:r>
            <w:fldChar w:fldCharType="end"/>
          </w:r>
          <w:r>
            <w:fldChar w:fldCharType="end"/>
          </w:r>
        </w:p>
        <w:p w14:paraId="11F63C8B">
          <w:pPr>
            <w:pStyle w:val="20"/>
            <w:tabs>
              <w:tab w:val="right" w:leader="dot" w:pos="9070"/>
            </w:tabs>
          </w:pPr>
          <w:r>
            <w:fldChar w:fldCharType="begin"/>
          </w:r>
          <w:r>
            <w:instrText xml:space="preserve"> HYPERLINK \l "_Toc15063" </w:instrText>
          </w:r>
          <w:r>
            <w:fldChar w:fldCharType="separate"/>
          </w:r>
          <w:r>
            <w:rPr>
              <w:rFonts w:hint="eastAsia" w:ascii="仿宋" w:hAnsi="仿宋" w:eastAsia="仿宋" w:cs="仿宋"/>
              <w:szCs w:val="44"/>
            </w:rPr>
            <w:t>第六章  采购需求</w:t>
          </w:r>
          <w:r>
            <w:tab/>
          </w:r>
          <w:r>
            <w:fldChar w:fldCharType="begin"/>
          </w:r>
          <w:r>
            <w:instrText xml:space="preserve"> PAGEREF _Toc15063 \h </w:instrText>
          </w:r>
          <w:r>
            <w:fldChar w:fldCharType="separate"/>
          </w:r>
          <w:r>
            <w:t>31</w:t>
          </w:r>
          <w:r>
            <w:fldChar w:fldCharType="end"/>
          </w:r>
          <w:r>
            <w:fldChar w:fldCharType="end"/>
          </w:r>
        </w:p>
        <w:p w14:paraId="7BE31C06">
          <w:pPr>
            <w:pStyle w:val="20"/>
            <w:tabs>
              <w:tab w:val="right" w:leader="dot" w:pos="9070"/>
            </w:tabs>
          </w:pPr>
          <w:r>
            <w:fldChar w:fldCharType="begin"/>
          </w:r>
          <w:r>
            <w:instrText xml:space="preserve"> HYPERLINK \l "_Toc14060" </w:instrText>
          </w:r>
          <w:r>
            <w:fldChar w:fldCharType="separate"/>
          </w:r>
          <w:r>
            <w:rPr>
              <w:rFonts w:hint="eastAsia" w:ascii="仿宋" w:hAnsi="仿宋" w:eastAsia="仿宋" w:cs="仿宋"/>
              <w:szCs w:val="52"/>
            </w:rPr>
            <w:t>商务技术部分</w:t>
          </w:r>
          <w:r>
            <w:tab/>
          </w:r>
          <w:r>
            <w:fldChar w:fldCharType="begin"/>
          </w:r>
          <w:r>
            <w:instrText xml:space="preserve"> PAGEREF _Toc14060 \h </w:instrText>
          </w:r>
          <w:r>
            <w:fldChar w:fldCharType="separate"/>
          </w:r>
          <w:r>
            <w:t>39</w:t>
          </w:r>
          <w:r>
            <w:fldChar w:fldCharType="end"/>
          </w:r>
          <w:r>
            <w:fldChar w:fldCharType="end"/>
          </w:r>
        </w:p>
        <w:p w14:paraId="15630E6B">
          <w:pPr>
            <w:pStyle w:val="21"/>
            <w:tabs>
              <w:tab w:val="right" w:leader="dot" w:pos="9070"/>
            </w:tabs>
          </w:pPr>
          <w:r>
            <w:fldChar w:fldCharType="begin"/>
          </w:r>
          <w:r>
            <w:instrText xml:space="preserve"> HYPERLINK \l "_Toc9066" </w:instrText>
          </w:r>
          <w:r>
            <w:fldChar w:fldCharType="separate"/>
          </w:r>
          <w:r>
            <w:rPr>
              <w:rFonts w:hint="eastAsia" w:ascii="仿宋" w:hAnsi="仿宋" w:eastAsia="仿宋" w:cs="仿宋"/>
              <w:szCs w:val="32"/>
            </w:rPr>
            <w:t>一、开标（唱标）一览表</w:t>
          </w:r>
          <w:r>
            <w:tab/>
          </w:r>
          <w:r>
            <w:fldChar w:fldCharType="begin"/>
          </w:r>
          <w:r>
            <w:instrText xml:space="preserve"> PAGEREF _Toc9066 \h </w:instrText>
          </w:r>
          <w:r>
            <w:fldChar w:fldCharType="separate"/>
          </w:r>
          <w:r>
            <w:t>40</w:t>
          </w:r>
          <w:r>
            <w:fldChar w:fldCharType="end"/>
          </w:r>
          <w:r>
            <w:fldChar w:fldCharType="end"/>
          </w:r>
        </w:p>
        <w:p w14:paraId="60A2D366">
          <w:pPr>
            <w:pStyle w:val="14"/>
            <w:tabs>
              <w:tab w:val="right" w:leader="dot" w:pos="9070"/>
            </w:tabs>
          </w:pPr>
          <w:r>
            <w:fldChar w:fldCharType="begin"/>
          </w:r>
          <w:r>
            <w:instrText xml:space="preserve"> HYPERLINK \l "_Toc27137" </w:instrText>
          </w:r>
          <w:r>
            <w:fldChar w:fldCharType="separate"/>
          </w:r>
          <w:r>
            <w:rPr>
              <w:rFonts w:hint="eastAsia" w:ascii="仿宋" w:hAnsi="仿宋" w:eastAsia="仿宋" w:cs="仿宋"/>
              <w:szCs w:val="30"/>
            </w:rPr>
            <w:t>（二）投标报价一览表</w:t>
          </w:r>
          <w:r>
            <w:tab/>
          </w:r>
          <w:r>
            <w:fldChar w:fldCharType="begin"/>
          </w:r>
          <w:r>
            <w:instrText xml:space="preserve"> PAGEREF _Toc27137 \h </w:instrText>
          </w:r>
          <w:r>
            <w:fldChar w:fldCharType="separate"/>
          </w:r>
          <w:r>
            <w:t>40</w:t>
          </w:r>
          <w:r>
            <w:fldChar w:fldCharType="end"/>
          </w:r>
          <w:r>
            <w:fldChar w:fldCharType="end"/>
          </w:r>
        </w:p>
        <w:p w14:paraId="4CAD16F2">
          <w:pPr>
            <w:pStyle w:val="21"/>
            <w:tabs>
              <w:tab w:val="right" w:leader="dot" w:pos="9070"/>
            </w:tabs>
          </w:pPr>
          <w:r>
            <w:fldChar w:fldCharType="begin"/>
          </w:r>
          <w:r>
            <w:instrText xml:space="preserve"> HYPERLINK \l "_Toc9525" </w:instrText>
          </w:r>
          <w:r>
            <w:fldChar w:fldCharType="separate"/>
          </w:r>
          <w:r>
            <w:rPr>
              <w:rFonts w:hint="eastAsia" w:ascii="仿宋" w:hAnsi="仿宋" w:eastAsia="仿宋" w:cs="仿宋"/>
              <w:szCs w:val="32"/>
            </w:rPr>
            <w:t>二、</w:t>
          </w:r>
          <w:r>
            <w:rPr>
              <w:rFonts w:hint="eastAsia" w:ascii="仿宋" w:hAnsi="仿宋" w:eastAsia="仿宋" w:cs="仿宋"/>
              <w:szCs w:val="24"/>
            </w:rPr>
            <w:t>（一）投标函</w:t>
          </w:r>
          <w:r>
            <w:tab/>
          </w:r>
          <w:r>
            <w:fldChar w:fldCharType="begin"/>
          </w:r>
          <w:r>
            <w:instrText xml:space="preserve"> PAGEREF _Toc9525 \h </w:instrText>
          </w:r>
          <w:r>
            <w:fldChar w:fldCharType="separate"/>
          </w:r>
          <w:r>
            <w:t>41</w:t>
          </w:r>
          <w:r>
            <w:fldChar w:fldCharType="end"/>
          </w:r>
          <w:r>
            <w:fldChar w:fldCharType="end"/>
          </w:r>
        </w:p>
        <w:p w14:paraId="225421F2">
          <w:pPr>
            <w:pStyle w:val="14"/>
            <w:tabs>
              <w:tab w:val="right" w:leader="dot" w:pos="9070"/>
            </w:tabs>
          </w:pPr>
          <w:r>
            <w:fldChar w:fldCharType="begin"/>
          </w:r>
          <w:r>
            <w:instrText xml:space="preserve"> HYPERLINK \l "_Toc30053" </w:instrText>
          </w:r>
          <w:r>
            <w:fldChar w:fldCharType="separate"/>
          </w:r>
          <w:r>
            <w:rPr>
              <w:rFonts w:hint="eastAsia" w:ascii="仿宋" w:hAnsi="仿宋" w:eastAsia="仿宋" w:cs="仿宋"/>
            </w:rPr>
            <w:t>（二）投标函附录</w:t>
          </w:r>
          <w:r>
            <w:tab/>
          </w:r>
          <w:r>
            <w:fldChar w:fldCharType="begin"/>
          </w:r>
          <w:r>
            <w:instrText xml:space="preserve"> PAGEREF _Toc30053 \h </w:instrText>
          </w:r>
          <w:r>
            <w:fldChar w:fldCharType="separate"/>
          </w:r>
          <w:r>
            <w:t>42</w:t>
          </w:r>
          <w:r>
            <w:fldChar w:fldCharType="end"/>
          </w:r>
          <w:r>
            <w:fldChar w:fldCharType="end"/>
          </w:r>
        </w:p>
        <w:p w14:paraId="277159C8">
          <w:pPr>
            <w:pStyle w:val="21"/>
            <w:tabs>
              <w:tab w:val="right" w:leader="dot" w:pos="9070"/>
            </w:tabs>
          </w:pPr>
          <w:r>
            <w:fldChar w:fldCharType="begin"/>
          </w:r>
          <w:r>
            <w:instrText xml:space="preserve"> HYPERLINK \l "_Toc5736" </w:instrText>
          </w:r>
          <w:r>
            <w:fldChar w:fldCharType="separate"/>
          </w:r>
          <w:r>
            <w:rPr>
              <w:rFonts w:hint="eastAsia" w:ascii="仿宋" w:hAnsi="仿宋" w:eastAsia="仿宋" w:cs="仿宋"/>
              <w:bCs/>
              <w:iCs/>
              <w:szCs w:val="32"/>
            </w:rPr>
            <w:t>三、法定代表人身份证明书及授权委托书</w:t>
          </w:r>
          <w:r>
            <w:tab/>
          </w:r>
          <w:r>
            <w:fldChar w:fldCharType="begin"/>
          </w:r>
          <w:r>
            <w:instrText xml:space="preserve"> PAGEREF _Toc5736 \h </w:instrText>
          </w:r>
          <w:r>
            <w:fldChar w:fldCharType="separate"/>
          </w:r>
          <w:r>
            <w:t>43</w:t>
          </w:r>
          <w:r>
            <w:fldChar w:fldCharType="end"/>
          </w:r>
          <w:r>
            <w:fldChar w:fldCharType="end"/>
          </w:r>
        </w:p>
        <w:p w14:paraId="014DE230">
          <w:pPr>
            <w:pStyle w:val="14"/>
            <w:tabs>
              <w:tab w:val="right" w:leader="dot" w:pos="9070"/>
            </w:tabs>
          </w:pPr>
          <w:r>
            <w:fldChar w:fldCharType="begin"/>
          </w:r>
          <w:r>
            <w:instrText xml:space="preserve"> HYPERLINK \l "_Toc14395" </w:instrText>
          </w:r>
          <w:r>
            <w:fldChar w:fldCharType="separate"/>
          </w:r>
          <w:r>
            <w:rPr>
              <w:rFonts w:hint="eastAsia" w:ascii="仿宋" w:hAnsi="仿宋" w:eastAsia="仿宋" w:cs="仿宋"/>
              <w:szCs w:val="32"/>
            </w:rPr>
            <w:t>四、</w:t>
          </w:r>
          <w:r>
            <w:rPr>
              <w:rFonts w:hint="eastAsia" w:ascii="仿宋" w:hAnsi="仿宋" w:eastAsia="仿宋" w:cs="仿宋"/>
              <w:szCs w:val="30"/>
            </w:rPr>
            <w:t>投标报价不低于企业成本价的承诺</w:t>
          </w:r>
          <w:r>
            <w:tab/>
          </w:r>
          <w:r>
            <w:fldChar w:fldCharType="begin"/>
          </w:r>
          <w:r>
            <w:instrText xml:space="preserve"> PAGEREF _Toc14395 \h </w:instrText>
          </w:r>
          <w:r>
            <w:fldChar w:fldCharType="separate"/>
          </w:r>
          <w:r>
            <w:t>45</w:t>
          </w:r>
          <w:r>
            <w:fldChar w:fldCharType="end"/>
          </w:r>
          <w:r>
            <w:fldChar w:fldCharType="end"/>
          </w:r>
        </w:p>
        <w:p w14:paraId="60BB7224">
          <w:pPr>
            <w:pStyle w:val="21"/>
            <w:tabs>
              <w:tab w:val="right" w:leader="dot" w:pos="9070"/>
            </w:tabs>
          </w:pPr>
          <w:r>
            <w:fldChar w:fldCharType="begin"/>
          </w:r>
          <w:r>
            <w:instrText xml:space="preserve"> HYPERLINK \l "_Toc28063" </w:instrText>
          </w:r>
          <w:r>
            <w:fldChar w:fldCharType="separate"/>
          </w:r>
          <w:r>
            <w:rPr>
              <w:rFonts w:hint="eastAsia" w:ascii="仿宋" w:hAnsi="仿宋" w:eastAsia="仿宋" w:cs="仿宋"/>
              <w:szCs w:val="32"/>
            </w:rPr>
            <w:t>五、技术文件</w:t>
          </w:r>
          <w:r>
            <w:tab/>
          </w:r>
          <w:r>
            <w:fldChar w:fldCharType="begin"/>
          </w:r>
          <w:r>
            <w:instrText xml:space="preserve"> PAGEREF _Toc28063 \h </w:instrText>
          </w:r>
          <w:r>
            <w:fldChar w:fldCharType="separate"/>
          </w:r>
          <w:r>
            <w:t>46</w:t>
          </w:r>
          <w:r>
            <w:fldChar w:fldCharType="end"/>
          </w:r>
          <w:r>
            <w:fldChar w:fldCharType="end"/>
          </w:r>
        </w:p>
        <w:p w14:paraId="067BCB42">
          <w:pPr>
            <w:pStyle w:val="20"/>
            <w:tabs>
              <w:tab w:val="right" w:leader="dot" w:pos="9070"/>
            </w:tabs>
          </w:pPr>
          <w:r>
            <w:fldChar w:fldCharType="begin"/>
          </w:r>
          <w:r>
            <w:instrText xml:space="preserve"> HYPERLINK \l "_Toc16522" </w:instrText>
          </w:r>
          <w:r>
            <w:fldChar w:fldCharType="separate"/>
          </w:r>
          <w:r>
            <w:rPr>
              <w:rFonts w:hint="eastAsia" w:ascii="仿宋" w:hAnsi="仿宋" w:eastAsia="仿宋" w:cs="仿宋"/>
              <w:szCs w:val="32"/>
            </w:rPr>
            <w:t>六、投标文件资格审查资料部分格式</w:t>
          </w:r>
          <w:r>
            <w:tab/>
          </w:r>
          <w:r>
            <w:fldChar w:fldCharType="begin"/>
          </w:r>
          <w:r>
            <w:instrText xml:space="preserve"> PAGEREF _Toc16522 \h </w:instrText>
          </w:r>
          <w:r>
            <w:fldChar w:fldCharType="separate"/>
          </w:r>
          <w:r>
            <w:t>47</w:t>
          </w:r>
          <w:r>
            <w:fldChar w:fldCharType="end"/>
          </w:r>
          <w:r>
            <w:fldChar w:fldCharType="end"/>
          </w:r>
        </w:p>
        <w:p w14:paraId="55C2E48A">
          <w:pPr>
            <w:pStyle w:val="20"/>
            <w:tabs>
              <w:tab w:val="right" w:leader="dot" w:pos="9070"/>
            </w:tabs>
          </w:pPr>
          <w:r>
            <w:fldChar w:fldCharType="begin"/>
          </w:r>
          <w:r>
            <w:instrText xml:space="preserve"> HYPERLINK \l "_Toc25456" </w:instrText>
          </w:r>
          <w:r>
            <w:fldChar w:fldCharType="separate"/>
          </w:r>
          <w:r>
            <w:rPr>
              <w:rFonts w:hint="eastAsia" w:ascii="仿宋" w:hAnsi="仿宋" w:eastAsia="仿宋" w:cs="仿宋"/>
              <w:szCs w:val="32"/>
            </w:rPr>
            <w:t>（一）投标人基本情况表</w:t>
          </w:r>
          <w:r>
            <w:tab/>
          </w:r>
          <w:r>
            <w:fldChar w:fldCharType="begin"/>
          </w:r>
          <w:r>
            <w:instrText xml:space="preserve"> PAGEREF _Toc25456 \h </w:instrText>
          </w:r>
          <w:r>
            <w:fldChar w:fldCharType="separate"/>
          </w:r>
          <w:r>
            <w:t>47</w:t>
          </w:r>
          <w:r>
            <w:fldChar w:fldCharType="end"/>
          </w:r>
          <w:r>
            <w:fldChar w:fldCharType="end"/>
          </w:r>
        </w:p>
        <w:p w14:paraId="66104586">
          <w:pPr>
            <w:pStyle w:val="20"/>
            <w:tabs>
              <w:tab w:val="right" w:leader="dot" w:pos="9070"/>
            </w:tabs>
          </w:pPr>
          <w:r>
            <w:fldChar w:fldCharType="begin"/>
          </w:r>
          <w:r>
            <w:instrText xml:space="preserve"> HYPERLINK \l "_Toc2298" </w:instrText>
          </w:r>
          <w:r>
            <w:fldChar w:fldCharType="separate"/>
          </w:r>
          <w:r>
            <w:rPr>
              <w:rFonts w:hint="eastAsia" w:ascii="仿宋" w:hAnsi="仿宋" w:eastAsia="仿宋" w:cs="仿宋"/>
              <w:szCs w:val="32"/>
            </w:rPr>
            <w:t>（二）企业近年财务状况表</w:t>
          </w:r>
          <w:r>
            <w:tab/>
          </w:r>
          <w:r>
            <w:fldChar w:fldCharType="begin"/>
          </w:r>
          <w:r>
            <w:instrText xml:space="preserve"> PAGEREF _Toc2298 \h </w:instrText>
          </w:r>
          <w:r>
            <w:fldChar w:fldCharType="separate"/>
          </w:r>
          <w:r>
            <w:t>48</w:t>
          </w:r>
          <w:r>
            <w:fldChar w:fldCharType="end"/>
          </w:r>
          <w:r>
            <w:fldChar w:fldCharType="end"/>
          </w:r>
        </w:p>
        <w:p w14:paraId="3FBE29AD">
          <w:pPr>
            <w:pStyle w:val="21"/>
            <w:tabs>
              <w:tab w:val="right" w:leader="dot" w:pos="9070"/>
            </w:tabs>
          </w:pPr>
          <w:r>
            <w:fldChar w:fldCharType="begin"/>
          </w:r>
          <w:r>
            <w:instrText xml:space="preserve"> HYPERLINK \l "_Toc2584" </w:instrText>
          </w:r>
          <w:r>
            <w:fldChar w:fldCharType="separate"/>
          </w:r>
          <w:r>
            <w:rPr>
              <w:rFonts w:hint="eastAsia" w:ascii="仿宋" w:hAnsi="仿宋" w:eastAsia="仿宋" w:cs="仿宋"/>
              <w:szCs w:val="32"/>
            </w:rPr>
            <w:t>七、（1）项目负责人基本情况表</w:t>
          </w:r>
          <w:r>
            <w:tab/>
          </w:r>
          <w:r>
            <w:fldChar w:fldCharType="begin"/>
          </w:r>
          <w:r>
            <w:instrText xml:space="preserve"> PAGEREF _Toc2584 \h </w:instrText>
          </w:r>
          <w:r>
            <w:fldChar w:fldCharType="separate"/>
          </w:r>
          <w:r>
            <w:t>49</w:t>
          </w:r>
          <w:r>
            <w:fldChar w:fldCharType="end"/>
          </w:r>
          <w:r>
            <w:fldChar w:fldCharType="end"/>
          </w:r>
        </w:p>
        <w:p w14:paraId="53FBFCF5">
          <w:pPr>
            <w:pStyle w:val="21"/>
            <w:tabs>
              <w:tab w:val="right" w:leader="dot" w:pos="9070"/>
            </w:tabs>
          </w:pPr>
          <w:r>
            <w:fldChar w:fldCharType="begin"/>
          </w:r>
          <w:r>
            <w:instrText xml:space="preserve"> HYPERLINK \l "_Toc7228" </w:instrText>
          </w:r>
          <w:r>
            <w:fldChar w:fldCharType="separate"/>
          </w:r>
          <w:r>
            <w:rPr>
              <w:rFonts w:hint="eastAsia" w:ascii="仿宋" w:hAnsi="仿宋" w:eastAsia="仿宋" w:cs="仿宋"/>
              <w:szCs w:val="32"/>
            </w:rPr>
            <w:t>（2）拟投入项目人员汇总表</w:t>
          </w:r>
          <w:r>
            <w:tab/>
          </w:r>
          <w:r>
            <w:fldChar w:fldCharType="begin"/>
          </w:r>
          <w:r>
            <w:instrText xml:space="preserve"> PAGEREF _Toc7228 \h </w:instrText>
          </w:r>
          <w:r>
            <w:fldChar w:fldCharType="separate"/>
          </w:r>
          <w:r>
            <w:t>50</w:t>
          </w:r>
          <w:r>
            <w:fldChar w:fldCharType="end"/>
          </w:r>
          <w:r>
            <w:fldChar w:fldCharType="end"/>
          </w:r>
        </w:p>
        <w:p w14:paraId="1DD6ED6A">
          <w:pPr>
            <w:pStyle w:val="21"/>
            <w:tabs>
              <w:tab w:val="right" w:leader="dot" w:pos="9070"/>
            </w:tabs>
          </w:pPr>
          <w:r>
            <w:fldChar w:fldCharType="begin"/>
          </w:r>
          <w:r>
            <w:instrText xml:space="preserve"> HYPERLINK \l "_Toc9539" </w:instrText>
          </w:r>
          <w:r>
            <w:fldChar w:fldCharType="separate"/>
          </w:r>
          <w:r>
            <w:rPr>
              <w:rFonts w:hint="eastAsia" w:ascii="仿宋" w:hAnsi="仿宋" w:eastAsia="仿宋" w:cs="仿宋"/>
              <w:szCs w:val="32"/>
            </w:rPr>
            <w:t>八、信誉情况</w:t>
          </w:r>
          <w:r>
            <w:tab/>
          </w:r>
          <w:r>
            <w:fldChar w:fldCharType="begin"/>
          </w:r>
          <w:r>
            <w:instrText xml:space="preserve"> PAGEREF _Toc9539 \h </w:instrText>
          </w:r>
          <w:r>
            <w:fldChar w:fldCharType="separate"/>
          </w:r>
          <w:r>
            <w:t>51</w:t>
          </w:r>
          <w:r>
            <w:fldChar w:fldCharType="end"/>
          </w:r>
          <w:r>
            <w:fldChar w:fldCharType="end"/>
          </w:r>
        </w:p>
        <w:p w14:paraId="3C225C89">
          <w:pPr>
            <w:pStyle w:val="21"/>
            <w:tabs>
              <w:tab w:val="right" w:leader="dot" w:pos="9070"/>
            </w:tabs>
          </w:pPr>
          <w:r>
            <w:fldChar w:fldCharType="begin"/>
          </w:r>
          <w:r>
            <w:instrText xml:space="preserve"> HYPERLINK \l "_Toc20896" </w:instrText>
          </w:r>
          <w:r>
            <w:fldChar w:fldCharType="separate"/>
          </w:r>
          <w:r>
            <w:rPr>
              <w:rFonts w:hint="eastAsia" w:ascii="仿宋" w:hAnsi="仿宋" w:eastAsia="仿宋" w:cs="仿宋"/>
              <w:szCs w:val="32"/>
            </w:rPr>
            <w:t>九、投标人承诺书</w:t>
          </w:r>
          <w:r>
            <w:tab/>
          </w:r>
          <w:r>
            <w:fldChar w:fldCharType="begin"/>
          </w:r>
          <w:r>
            <w:instrText xml:space="preserve"> PAGEREF _Toc20896 \h </w:instrText>
          </w:r>
          <w:r>
            <w:fldChar w:fldCharType="separate"/>
          </w:r>
          <w:r>
            <w:t>52</w:t>
          </w:r>
          <w:r>
            <w:fldChar w:fldCharType="end"/>
          </w:r>
          <w:r>
            <w:fldChar w:fldCharType="end"/>
          </w:r>
        </w:p>
        <w:p w14:paraId="559AB164">
          <w:pPr>
            <w:pStyle w:val="21"/>
            <w:tabs>
              <w:tab w:val="right" w:leader="dot" w:pos="9070"/>
            </w:tabs>
          </w:pPr>
          <w:r>
            <w:fldChar w:fldCharType="begin"/>
          </w:r>
          <w:r>
            <w:instrText xml:space="preserve"> HYPERLINK \l "_Toc21720" </w:instrText>
          </w:r>
          <w:r>
            <w:fldChar w:fldCharType="separate"/>
          </w:r>
          <w:r>
            <w:rPr>
              <w:rFonts w:hint="eastAsia" w:ascii="仿宋" w:hAnsi="仿宋" w:eastAsia="仿宋" w:cs="仿宋"/>
              <w:szCs w:val="32"/>
            </w:rPr>
            <w:t>十、其他材料</w:t>
          </w:r>
          <w:r>
            <w:tab/>
          </w:r>
          <w:r>
            <w:fldChar w:fldCharType="begin"/>
          </w:r>
          <w:r>
            <w:instrText xml:space="preserve"> PAGEREF _Toc21720 \h </w:instrText>
          </w:r>
          <w:r>
            <w:fldChar w:fldCharType="separate"/>
          </w:r>
          <w:r>
            <w:t>53</w:t>
          </w:r>
          <w:r>
            <w:fldChar w:fldCharType="end"/>
          </w:r>
          <w:r>
            <w:fldChar w:fldCharType="end"/>
          </w:r>
        </w:p>
        <w:p w14:paraId="05F15D6E">
          <w:pPr>
            <w:pStyle w:val="14"/>
            <w:tabs>
              <w:tab w:val="right" w:leader="dot" w:pos="9515"/>
            </w:tabs>
            <w:rPr>
              <w:rFonts w:ascii="仿宋" w:hAnsi="仿宋" w:eastAsia="仿宋" w:cs="仿宋"/>
              <w:sz w:val="24"/>
              <w:szCs w:val="24"/>
            </w:rPr>
          </w:pPr>
          <w:r>
            <w:rPr>
              <w:rFonts w:hint="eastAsia" w:ascii="仿宋" w:hAnsi="仿宋" w:eastAsia="仿宋" w:cs="仿宋"/>
              <w:szCs w:val="21"/>
              <w:lang w:val="zh-CN"/>
            </w:rPr>
            <w:fldChar w:fldCharType="end"/>
          </w:r>
        </w:p>
      </w:sdtContent>
    </w:sdt>
    <w:p w14:paraId="72E440B0">
      <w:pPr>
        <w:rPr>
          <w:rFonts w:ascii="仿宋" w:hAnsi="仿宋" w:eastAsia="仿宋" w:cs="仿宋"/>
          <w:iCs/>
          <w:sz w:val="24"/>
          <w:szCs w:val="24"/>
        </w:rPr>
        <w:sectPr>
          <w:footerReference r:id="rId3" w:type="default"/>
          <w:pgSz w:w="11906" w:h="16838"/>
          <w:pgMar w:top="1247" w:right="1418" w:bottom="1247" w:left="1418" w:header="851" w:footer="992" w:gutter="0"/>
          <w:pgNumType w:start="1"/>
          <w:cols w:space="0" w:num="1"/>
          <w:docGrid w:type="linesAndChars" w:linePitch="312" w:charSpace="0"/>
        </w:sectPr>
      </w:pPr>
    </w:p>
    <w:p w14:paraId="1A62D992">
      <w:pPr>
        <w:jc w:val="center"/>
        <w:rPr>
          <w:rFonts w:ascii="仿宋" w:hAnsi="仿宋" w:eastAsia="仿宋" w:cs="仿宋"/>
          <w:iCs/>
          <w:sz w:val="40"/>
          <w:szCs w:val="32"/>
        </w:rPr>
      </w:pPr>
      <w:bookmarkStart w:id="5" w:name="_Toc62031133"/>
      <w:r>
        <w:rPr>
          <w:rFonts w:hint="eastAsia" w:ascii="仿宋" w:hAnsi="仿宋" w:eastAsia="仿宋" w:cs="仿宋"/>
          <w:iCs/>
          <w:sz w:val="40"/>
          <w:szCs w:val="32"/>
        </w:rPr>
        <w:t xml:space="preserve">第一章  </w:t>
      </w:r>
      <w:bookmarkEnd w:id="5"/>
      <w:bookmarkStart w:id="6" w:name="_Toc28359010"/>
      <w:bookmarkStart w:id="7" w:name="_Toc28359087"/>
      <w:r>
        <w:rPr>
          <w:rFonts w:hint="eastAsia" w:ascii="仿宋" w:hAnsi="仿宋" w:eastAsia="仿宋" w:cs="仿宋"/>
          <w:iCs/>
          <w:sz w:val="40"/>
          <w:szCs w:val="32"/>
        </w:rPr>
        <w:t>采购公告</w:t>
      </w:r>
    </w:p>
    <w:p w14:paraId="6A6580CC">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项目概况</w:t>
      </w:r>
    </w:p>
    <w:p w14:paraId="32993450">
      <w:pPr>
        <w:pBdr>
          <w:top w:val="single" w:color="auto" w:sz="4" w:space="1"/>
          <w:left w:val="single" w:color="auto" w:sz="4" w:space="4"/>
          <w:bottom w:val="single" w:color="auto" w:sz="4" w:space="1"/>
          <w:right w:val="single" w:color="auto" w:sz="4" w:space="4"/>
        </w:pBdr>
        <w:spacing w:line="500" w:lineRule="exact"/>
        <w:ind w:firstLine="420" w:firstLineChars="200"/>
        <w:rPr>
          <w:rFonts w:ascii="仿宋" w:hAnsi="仿宋" w:eastAsia="仿宋" w:cs="仿宋"/>
          <w:sz w:val="24"/>
          <w:szCs w:val="24"/>
          <w:highlight w:val="yellow"/>
        </w:rPr>
      </w:pPr>
      <w:r>
        <w:rPr>
          <w:rFonts w:hint="eastAsia" w:ascii="仿宋_GB2312" w:hAnsi="仿宋_GB2312" w:eastAsia="仿宋_GB2312" w:cs="仿宋_GB2312"/>
          <w:szCs w:val="21"/>
        </w:rPr>
        <w:t>中国科学院昆明植物研究所水资源取水许可证办理服务采购文件采购项目的潜在供应商应在</w:t>
      </w:r>
      <w:r>
        <w:rPr>
          <w:rFonts w:hint="eastAsia" w:ascii="仿宋_GB2312" w:hAnsi="仿宋_GB2312" w:eastAsia="仿宋_GB2312" w:cs="仿宋_GB2312"/>
          <w:szCs w:val="21"/>
          <w:u w:val="single"/>
        </w:rPr>
        <w:t>（</w:t>
      </w:r>
      <w:r>
        <w:rPr>
          <w:rFonts w:hint="eastAsia" w:ascii="仿宋_GB2312" w:hAnsi="仿宋_GB2312" w:eastAsia="仿宋_GB2312" w:cs="仿宋_GB2312"/>
          <w:i/>
          <w:szCs w:val="21"/>
          <w:u w:val="single"/>
        </w:rPr>
        <w:t>线上</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获取采购文件，</w:t>
      </w:r>
      <w:r>
        <w:rPr>
          <w:rFonts w:hint="eastAsia" w:ascii="仿宋_GB2312" w:hAnsi="仿宋_GB2312" w:eastAsia="仿宋_GB2312" w:cs="仿宋_GB2312"/>
          <w:szCs w:val="21"/>
          <w:highlight w:val="yellow"/>
        </w:rPr>
        <w:t>并于</w:t>
      </w:r>
      <w:r>
        <w:rPr>
          <w:rFonts w:hint="eastAsia" w:ascii="仿宋_GB2312" w:hAnsi="仿宋_GB2312" w:eastAsia="仿宋_GB2312" w:cs="仿宋_GB2312"/>
          <w:szCs w:val="21"/>
          <w:highlight w:val="yellow"/>
          <w:u w:val="single"/>
        </w:rPr>
        <w:t>2025年6月12日14</w:t>
      </w:r>
      <w:r>
        <w:rPr>
          <w:rFonts w:hint="eastAsia" w:ascii="仿宋_GB2312" w:hAnsi="仿宋_GB2312" w:eastAsia="仿宋_GB2312" w:cs="仿宋_GB2312"/>
          <w:bCs/>
          <w:szCs w:val="21"/>
          <w:highlight w:val="yellow"/>
          <w:u w:val="single"/>
        </w:rPr>
        <w:t>点00分（</w:t>
      </w:r>
      <w:r>
        <w:rPr>
          <w:rFonts w:hint="eastAsia" w:ascii="仿宋_GB2312" w:hAnsi="仿宋_GB2312" w:eastAsia="仿宋_GB2312" w:cs="仿宋_GB2312"/>
          <w:bCs/>
          <w:szCs w:val="21"/>
          <w:highlight w:val="yellow"/>
        </w:rPr>
        <w:t>北京时间）前递交投标文件</w:t>
      </w:r>
      <w:r>
        <w:rPr>
          <w:rFonts w:hint="eastAsia" w:ascii="仿宋_GB2312" w:hAnsi="仿宋_GB2312" w:eastAsia="仿宋_GB2312" w:cs="仿宋_GB2312"/>
          <w:szCs w:val="21"/>
          <w:highlight w:val="yellow"/>
        </w:rPr>
        <w:t>。</w:t>
      </w:r>
    </w:p>
    <w:p w14:paraId="0DAA439C">
      <w:pPr>
        <w:spacing w:line="500" w:lineRule="exact"/>
        <w:outlineLvl w:val="1"/>
        <w:rPr>
          <w:rFonts w:ascii="仿宋" w:hAnsi="仿宋" w:eastAsia="仿宋" w:cs="仿宋"/>
          <w:b/>
          <w:bCs/>
          <w:sz w:val="24"/>
          <w:szCs w:val="24"/>
        </w:rPr>
      </w:pPr>
      <w:bookmarkStart w:id="8" w:name="_Toc20544"/>
      <w:bookmarkStart w:id="9" w:name="_Toc28359079"/>
      <w:bookmarkStart w:id="10" w:name="_Toc28359002"/>
      <w:bookmarkStart w:id="11" w:name="_Toc35393790"/>
      <w:bookmarkStart w:id="12" w:name="_Toc35393621"/>
      <w:bookmarkStart w:id="13" w:name="_Hlk24379207"/>
      <w:r>
        <w:rPr>
          <w:rFonts w:hint="eastAsia" w:ascii="仿宋" w:hAnsi="仿宋" w:eastAsia="仿宋" w:cs="仿宋"/>
          <w:b/>
          <w:bCs/>
          <w:sz w:val="24"/>
          <w:szCs w:val="24"/>
        </w:rPr>
        <w:t>一、项目基本情况</w:t>
      </w:r>
      <w:bookmarkEnd w:id="8"/>
      <w:bookmarkEnd w:id="9"/>
      <w:bookmarkEnd w:id="10"/>
      <w:bookmarkEnd w:id="11"/>
      <w:bookmarkEnd w:id="12"/>
    </w:p>
    <w:p w14:paraId="5116252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1.项目编号：</w:t>
      </w:r>
      <w:r>
        <w:rPr>
          <w:rFonts w:hint="eastAsia" w:ascii="仿宋" w:hAnsi="仿宋" w:eastAsia="仿宋" w:cs="仿宋"/>
          <w:sz w:val="24"/>
          <w:szCs w:val="24"/>
          <w:lang w:val="en-US" w:eastAsia="zh-CN"/>
        </w:rPr>
        <w:t>KIBKC094</w:t>
      </w:r>
      <w:r>
        <w:rPr>
          <w:rFonts w:hint="eastAsia" w:ascii="仿宋" w:hAnsi="仿宋" w:eastAsia="仿宋" w:cs="仿宋"/>
          <w:sz w:val="24"/>
          <w:szCs w:val="24"/>
        </w:rPr>
        <w:t>；</w:t>
      </w:r>
    </w:p>
    <w:p w14:paraId="71A7B8A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2.项目名称：中国科学院昆明植物研究所水资源取水许可证办理服务采购文件；</w:t>
      </w:r>
    </w:p>
    <w:p w14:paraId="1BD5599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项目情况：</w:t>
      </w:r>
      <w:bookmarkEnd w:id="13"/>
      <w:r>
        <w:rPr>
          <w:rFonts w:hint="eastAsia" w:ascii="仿宋" w:hAnsi="仿宋" w:eastAsia="仿宋" w:cs="仿宋"/>
          <w:sz w:val="24"/>
          <w:szCs w:val="24"/>
        </w:rPr>
        <w:t>昆明植物研究所园区灌溉用水采用地表水水源，经过二次加压到山顶灌溉水池供园区使用，现根据(水资源管理条例)，为采购人办理取水许可证</w:t>
      </w:r>
    </w:p>
    <w:p w14:paraId="0BE6381D">
      <w:pPr>
        <w:spacing w:line="500" w:lineRule="exact"/>
        <w:ind w:firstLine="480" w:firstLineChars="200"/>
        <w:rPr>
          <w:rFonts w:ascii="仿宋" w:hAnsi="仿宋" w:eastAsia="仿宋" w:cs="仿宋"/>
          <w:sz w:val="24"/>
          <w:szCs w:val="24"/>
          <w:highlight w:val="yellow"/>
        </w:rPr>
      </w:pPr>
      <w:r>
        <w:rPr>
          <w:rFonts w:ascii="仿宋" w:hAnsi="仿宋" w:eastAsia="仿宋" w:cs="仿宋"/>
          <w:sz w:val="24"/>
          <w:szCs w:val="24"/>
          <w:highlight w:val="yellow"/>
        </w:rPr>
        <w:t>4</w:t>
      </w:r>
      <w:r>
        <w:rPr>
          <w:rFonts w:hint="eastAsia" w:ascii="仿宋" w:hAnsi="仿宋" w:eastAsia="仿宋" w:cs="仿宋"/>
          <w:sz w:val="24"/>
          <w:szCs w:val="24"/>
          <w:highlight w:val="yellow"/>
        </w:rPr>
        <w:t>.预算金额：12万元；</w:t>
      </w:r>
    </w:p>
    <w:p w14:paraId="4AC9EE6D">
      <w:pPr>
        <w:spacing w:line="500" w:lineRule="exact"/>
        <w:ind w:firstLine="480" w:firstLineChars="200"/>
        <w:rPr>
          <w:rFonts w:ascii="仿宋" w:hAnsi="仿宋" w:eastAsia="仿宋" w:cs="仿宋"/>
          <w:sz w:val="24"/>
          <w:szCs w:val="24"/>
          <w:highlight w:val="yellow"/>
        </w:rPr>
      </w:pPr>
      <w:r>
        <w:rPr>
          <w:rFonts w:ascii="仿宋" w:hAnsi="仿宋" w:eastAsia="仿宋" w:cs="仿宋"/>
          <w:sz w:val="24"/>
          <w:szCs w:val="24"/>
          <w:highlight w:val="yellow"/>
        </w:rPr>
        <w:t>5</w:t>
      </w:r>
      <w:r>
        <w:rPr>
          <w:rFonts w:hint="eastAsia" w:ascii="仿宋" w:hAnsi="仿宋" w:eastAsia="仿宋" w:cs="仿宋"/>
          <w:sz w:val="24"/>
          <w:szCs w:val="24"/>
          <w:highlight w:val="yellow"/>
        </w:rPr>
        <w:t>.最高限价：12万元；</w:t>
      </w:r>
    </w:p>
    <w:p w14:paraId="1F0F8759">
      <w:pPr>
        <w:spacing w:line="500" w:lineRule="exact"/>
        <w:ind w:firstLine="480" w:firstLineChars="20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.采购范围：采购的技术服务清单如下（包含</w:t>
      </w:r>
      <w:r>
        <w:rPr>
          <w:rFonts w:ascii="仿宋" w:hAnsi="仿宋" w:eastAsia="仿宋" w:cs="仿宋"/>
          <w:sz w:val="24"/>
          <w:szCs w:val="24"/>
        </w:rPr>
        <w:t>并不限</w:t>
      </w:r>
      <w:r>
        <w:rPr>
          <w:rFonts w:hint="eastAsia" w:ascii="仿宋" w:hAnsi="仿宋" w:eastAsia="仿宋" w:cs="仿宋"/>
          <w:sz w:val="24"/>
          <w:szCs w:val="24"/>
        </w:rPr>
        <w:t>于下述表格“一、采购清单”中的内容）。</w:t>
      </w:r>
    </w:p>
    <w:p w14:paraId="417D5407">
      <w:pPr>
        <w:widowControl/>
        <w:jc w:val="left"/>
        <w:rPr>
          <w:rFonts w:ascii="仿宋" w:hAnsi="仿宋" w:eastAsia="仿宋" w:cs="仿宋"/>
          <w:sz w:val="24"/>
          <w:szCs w:val="24"/>
        </w:rPr>
      </w:pPr>
      <w:r>
        <w:rPr>
          <w:rFonts w:ascii="仿宋" w:hAnsi="仿宋" w:eastAsia="仿宋" w:cs="仿宋"/>
          <w:sz w:val="24"/>
          <w:szCs w:val="24"/>
        </w:rPr>
        <w:br w:type="page"/>
      </w:r>
    </w:p>
    <w:p w14:paraId="136A41E2">
      <w:pPr>
        <w:pStyle w:val="62"/>
        <w:numPr>
          <w:ilvl w:val="0"/>
          <w:numId w:val="2"/>
        </w:numPr>
        <w:adjustRightInd w:val="0"/>
        <w:snapToGrid w:val="0"/>
        <w:spacing w:line="360" w:lineRule="auto"/>
        <w:ind w:firstLineChars="0"/>
        <w:rPr>
          <w:rFonts w:ascii="仿宋" w:hAnsi="仿宋" w:eastAsia="仿宋" w:cs="仿宋"/>
          <w:sz w:val="24"/>
          <w:szCs w:val="24"/>
        </w:rPr>
      </w:pPr>
      <w:r>
        <w:rPr>
          <w:rFonts w:hint="eastAsia" w:ascii="仿宋" w:hAnsi="仿宋" w:eastAsia="仿宋" w:cs="仿宋"/>
          <w:sz w:val="24"/>
          <w:szCs w:val="24"/>
        </w:rPr>
        <w:t>采购清单</w:t>
      </w:r>
    </w:p>
    <w:tbl>
      <w:tblPr>
        <w:tblStyle w:val="24"/>
        <w:tblW w:w="5000" w:type="pct"/>
        <w:tblInd w:w="0" w:type="dxa"/>
        <w:tblLayout w:type="fixed"/>
        <w:tblCellMar>
          <w:top w:w="0" w:type="dxa"/>
          <w:left w:w="108" w:type="dxa"/>
          <w:bottom w:w="0" w:type="dxa"/>
          <w:right w:w="108" w:type="dxa"/>
        </w:tblCellMar>
      </w:tblPr>
      <w:tblGrid>
        <w:gridCol w:w="2000"/>
        <w:gridCol w:w="3217"/>
        <w:gridCol w:w="4069"/>
      </w:tblGrid>
      <w:tr w14:paraId="1CF92F6B">
        <w:tblPrEx>
          <w:tblCellMar>
            <w:top w:w="0" w:type="dxa"/>
            <w:left w:w="108" w:type="dxa"/>
            <w:bottom w:w="0" w:type="dxa"/>
            <w:right w:w="108" w:type="dxa"/>
          </w:tblCellMar>
        </w:tblPrEx>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14:paraId="64477159">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成果名称</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14:paraId="60C953C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专题名称</w:t>
            </w:r>
          </w:p>
        </w:tc>
        <w:tc>
          <w:tcPr>
            <w:tcW w:w="2190" w:type="pct"/>
            <w:tcBorders>
              <w:top w:val="single" w:color="auto" w:sz="4" w:space="0"/>
              <w:left w:val="nil"/>
              <w:bottom w:val="single" w:color="auto" w:sz="4" w:space="0"/>
              <w:right w:val="single" w:color="auto" w:sz="4" w:space="0"/>
            </w:tcBorders>
            <w:shd w:val="clear" w:color="auto" w:fill="auto"/>
            <w:vAlign w:val="center"/>
          </w:tcPr>
          <w:p w14:paraId="581AA33D">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项目说明</w:t>
            </w:r>
          </w:p>
        </w:tc>
      </w:tr>
      <w:tr w14:paraId="734CED3F">
        <w:tblPrEx>
          <w:tblCellMar>
            <w:top w:w="0" w:type="dxa"/>
            <w:left w:w="108" w:type="dxa"/>
            <w:bottom w:w="0" w:type="dxa"/>
            <w:right w:w="108" w:type="dxa"/>
          </w:tblCellMar>
        </w:tblPrEx>
        <w:trPr>
          <w:trHeight w:val="913" w:hRule="atLeast"/>
        </w:trPr>
        <w:tc>
          <w:tcPr>
            <w:tcW w:w="1077" w:type="pct"/>
            <w:vMerge w:val="restart"/>
            <w:tcBorders>
              <w:top w:val="nil"/>
              <w:left w:val="single" w:color="auto" w:sz="4" w:space="0"/>
              <w:right w:val="single" w:color="auto" w:sz="4" w:space="0"/>
            </w:tcBorders>
            <w:shd w:val="clear" w:color="auto" w:fill="auto"/>
            <w:vAlign w:val="center"/>
          </w:tcPr>
          <w:p w14:paraId="5C47CD75">
            <w:pPr>
              <w:spacing w:line="500" w:lineRule="exact"/>
              <w:rPr>
                <w:rFonts w:ascii="仿宋" w:hAnsi="仿宋" w:eastAsia="仿宋" w:cs="仿宋"/>
                <w:sz w:val="24"/>
                <w:szCs w:val="24"/>
                <w:highlight w:val="yellow"/>
              </w:rPr>
            </w:pPr>
            <w:r>
              <w:rPr>
                <w:rFonts w:hint="eastAsia" w:ascii="仿宋" w:hAnsi="仿宋" w:eastAsia="仿宋" w:cs="仿宋"/>
                <w:sz w:val="24"/>
                <w:szCs w:val="24"/>
                <w:highlight w:val="yellow"/>
              </w:rPr>
              <w:t>水资源论证报告</w:t>
            </w:r>
          </w:p>
        </w:tc>
        <w:tc>
          <w:tcPr>
            <w:tcW w:w="1731" w:type="pct"/>
            <w:tcBorders>
              <w:top w:val="nil"/>
              <w:left w:val="nil"/>
              <w:bottom w:val="single" w:color="auto" w:sz="4" w:space="0"/>
              <w:right w:val="single" w:color="auto" w:sz="4" w:space="0"/>
            </w:tcBorders>
            <w:shd w:val="clear" w:color="auto" w:fill="auto"/>
            <w:vAlign w:val="center"/>
          </w:tcPr>
          <w:p w14:paraId="5E0F179C">
            <w:pPr>
              <w:spacing w:line="500" w:lineRule="exact"/>
              <w:rPr>
                <w:rFonts w:ascii="仿宋" w:hAnsi="仿宋" w:eastAsia="仿宋" w:cs="仿宋"/>
                <w:sz w:val="24"/>
                <w:szCs w:val="24"/>
                <w:highlight w:val="yellow"/>
              </w:rPr>
            </w:pPr>
            <w:r>
              <w:rPr>
                <w:rFonts w:hint="eastAsia" w:ascii="仿宋" w:hAnsi="仿宋" w:eastAsia="仿宋" w:cs="仿宋"/>
                <w:sz w:val="24"/>
                <w:szCs w:val="24"/>
                <w:highlight w:val="yellow"/>
              </w:rPr>
              <w:t>水质论证专家评审建议</w:t>
            </w:r>
          </w:p>
        </w:tc>
        <w:tc>
          <w:tcPr>
            <w:tcW w:w="2190" w:type="pct"/>
            <w:tcBorders>
              <w:top w:val="nil"/>
              <w:left w:val="nil"/>
              <w:bottom w:val="single" w:color="auto" w:sz="4" w:space="0"/>
              <w:right w:val="single" w:color="auto" w:sz="4" w:space="0"/>
            </w:tcBorders>
            <w:shd w:val="clear" w:color="auto" w:fill="auto"/>
            <w:vAlign w:val="center"/>
          </w:tcPr>
          <w:p w14:paraId="5ED2E310">
            <w:pPr>
              <w:spacing w:line="500" w:lineRule="exact"/>
              <w:rPr>
                <w:rFonts w:ascii="仿宋" w:hAnsi="仿宋" w:eastAsia="仿宋" w:cs="仿宋"/>
                <w:sz w:val="24"/>
                <w:szCs w:val="24"/>
              </w:rPr>
            </w:pPr>
            <w:r>
              <w:rPr>
                <w:rFonts w:hint="eastAsia" w:ascii="仿宋" w:hAnsi="仿宋" w:eastAsia="仿宋" w:cs="仿宋"/>
                <w:sz w:val="24"/>
                <w:szCs w:val="24"/>
              </w:rPr>
              <w:t>水资源论证报告应经专家评审会通过，按评审意见完善后提交报批稿，专家评审会应由县级及以上人民政府水行政主管部门组织专家、取水口所在街道办事处和取水申请单位或者个人及水资源论证报告编制单位等相关单位开展。</w:t>
            </w:r>
          </w:p>
        </w:tc>
      </w:tr>
      <w:tr w14:paraId="5193131B">
        <w:tblPrEx>
          <w:tblCellMar>
            <w:top w:w="0" w:type="dxa"/>
            <w:left w:w="108" w:type="dxa"/>
            <w:bottom w:w="0" w:type="dxa"/>
            <w:right w:w="108" w:type="dxa"/>
          </w:tblCellMar>
        </w:tblPrEx>
        <w:trPr>
          <w:trHeight w:val="913" w:hRule="atLeast"/>
        </w:trPr>
        <w:tc>
          <w:tcPr>
            <w:tcW w:w="1077" w:type="pct"/>
            <w:vMerge w:val="continue"/>
            <w:tcBorders>
              <w:left w:val="single" w:color="auto" w:sz="4" w:space="0"/>
              <w:bottom w:val="single" w:color="auto" w:sz="4" w:space="0"/>
              <w:right w:val="single" w:color="auto" w:sz="4" w:space="0"/>
            </w:tcBorders>
            <w:shd w:val="clear" w:color="auto" w:fill="auto"/>
            <w:vAlign w:val="center"/>
          </w:tcPr>
          <w:p w14:paraId="2EE38EBF">
            <w:pPr>
              <w:spacing w:line="500" w:lineRule="exact"/>
              <w:rPr>
                <w:rFonts w:ascii="仿宋" w:hAnsi="仿宋" w:eastAsia="仿宋" w:cs="仿宋"/>
                <w:sz w:val="24"/>
                <w:szCs w:val="24"/>
                <w:highlight w:val="yellow"/>
              </w:rPr>
            </w:pPr>
          </w:p>
        </w:tc>
        <w:tc>
          <w:tcPr>
            <w:tcW w:w="1731" w:type="pct"/>
            <w:tcBorders>
              <w:top w:val="nil"/>
              <w:left w:val="nil"/>
              <w:bottom w:val="single" w:color="auto" w:sz="4" w:space="0"/>
              <w:right w:val="single" w:color="auto" w:sz="4" w:space="0"/>
            </w:tcBorders>
            <w:shd w:val="clear" w:color="auto" w:fill="auto"/>
            <w:vAlign w:val="center"/>
          </w:tcPr>
          <w:p w14:paraId="3DDA5A57">
            <w:pPr>
              <w:spacing w:line="500" w:lineRule="exact"/>
              <w:rPr>
                <w:rFonts w:ascii="仿宋" w:hAnsi="仿宋" w:eastAsia="仿宋" w:cs="仿宋"/>
                <w:sz w:val="24"/>
                <w:szCs w:val="24"/>
                <w:highlight w:val="yellow"/>
              </w:rPr>
            </w:pPr>
            <w:r>
              <w:rPr>
                <w:rFonts w:hint="eastAsia" w:ascii="仿宋" w:hAnsi="仿宋" w:eastAsia="仿宋" w:cs="仿宋"/>
                <w:sz w:val="24"/>
                <w:szCs w:val="24"/>
                <w:highlight w:val="yellow"/>
              </w:rPr>
              <w:t>水资源论证报告</w:t>
            </w:r>
          </w:p>
        </w:tc>
        <w:tc>
          <w:tcPr>
            <w:tcW w:w="2190" w:type="pct"/>
            <w:tcBorders>
              <w:top w:val="nil"/>
              <w:left w:val="nil"/>
              <w:bottom w:val="single" w:color="auto" w:sz="4" w:space="0"/>
              <w:right w:val="single" w:color="auto" w:sz="4" w:space="0"/>
            </w:tcBorders>
            <w:shd w:val="clear" w:color="auto" w:fill="auto"/>
            <w:vAlign w:val="center"/>
          </w:tcPr>
          <w:p w14:paraId="421A1A9E">
            <w:pPr>
              <w:spacing w:line="500" w:lineRule="exact"/>
              <w:rPr>
                <w:rFonts w:ascii="仿宋" w:hAnsi="仿宋" w:eastAsia="仿宋" w:cs="仿宋"/>
                <w:sz w:val="24"/>
                <w:szCs w:val="24"/>
              </w:rPr>
            </w:pPr>
            <w:r>
              <w:rPr>
                <w:rFonts w:hint="eastAsia" w:ascii="仿宋" w:hAnsi="仿宋" w:eastAsia="仿宋" w:cs="仿宋"/>
                <w:sz w:val="24"/>
                <w:szCs w:val="24"/>
              </w:rPr>
              <w:t>水资源论证报告应经专家评审会通过，按评审意见完善后提交报批稿。</w:t>
            </w:r>
          </w:p>
        </w:tc>
      </w:tr>
      <w:tr w14:paraId="464DCE14">
        <w:tblPrEx>
          <w:tblCellMar>
            <w:top w:w="0" w:type="dxa"/>
            <w:left w:w="108" w:type="dxa"/>
            <w:bottom w:w="0" w:type="dxa"/>
            <w:right w:w="108" w:type="dxa"/>
          </w:tblCellMar>
        </w:tblPrEx>
        <w:trPr>
          <w:trHeight w:val="814" w:hRule="atLeast"/>
        </w:trPr>
        <w:tc>
          <w:tcPr>
            <w:tcW w:w="1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8DB31">
            <w:pPr>
              <w:spacing w:line="500" w:lineRule="exact"/>
              <w:rPr>
                <w:rFonts w:ascii="仿宋" w:hAnsi="仿宋" w:eastAsia="仿宋" w:cs="仿宋"/>
                <w:sz w:val="24"/>
                <w:szCs w:val="24"/>
                <w:highlight w:val="yellow"/>
              </w:rPr>
            </w:pPr>
            <w:r>
              <w:rPr>
                <w:rFonts w:hint="eastAsia" w:ascii="仿宋" w:hAnsi="仿宋" w:eastAsia="仿宋" w:cs="仿宋"/>
                <w:sz w:val="24"/>
                <w:szCs w:val="24"/>
                <w:highlight w:val="yellow"/>
              </w:rPr>
              <w:t>取水证</w:t>
            </w:r>
          </w:p>
        </w:tc>
        <w:tc>
          <w:tcPr>
            <w:tcW w:w="1731" w:type="pct"/>
            <w:tcBorders>
              <w:top w:val="single" w:color="auto" w:sz="4" w:space="0"/>
              <w:left w:val="nil"/>
              <w:bottom w:val="single" w:color="auto" w:sz="4" w:space="0"/>
              <w:right w:val="single" w:color="auto" w:sz="4" w:space="0"/>
            </w:tcBorders>
            <w:shd w:val="clear" w:color="auto" w:fill="auto"/>
            <w:noWrap/>
            <w:vAlign w:val="center"/>
          </w:tcPr>
          <w:p w14:paraId="24E3CAF2">
            <w:pPr>
              <w:spacing w:line="500" w:lineRule="exact"/>
              <w:rPr>
                <w:rFonts w:ascii="仿宋" w:hAnsi="仿宋" w:eastAsia="仿宋" w:cs="仿宋"/>
                <w:sz w:val="24"/>
                <w:szCs w:val="24"/>
                <w:highlight w:val="yellow"/>
              </w:rPr>
            </w:pPr>
            <w:r>
              <w:rPr>
                <w:rFonts w:hint="eastAsia" w:ascii="仿宋" w:hAnsi="仿宋" w:eastAsia="仿宋" w:cs="仿宋"/>
                <w:sz w:val="24"/>
                <w:szCs w:val="24"/>
                <w:highlight w:val="yellow"/>
              </w:rPr>
              <w:t>水务局发的取水许可证</w:t>
            </w:r>
          </w:p>
        </w:tc>
        <w:tc>
          <w:tcPr>
            <w:tcW w:w="2190" w:type="pct"/>
            <w:tcBorders>
              <w:top w:val="single" w:color="auto" w:sz="4" w:space="0"/>
              <w:left w:val="nil"/>
              <w:bottom w:val="single" w:color="auto" w:sz="4" w:space="0"/>
              <w:right w:val="single" w:color="auto" w:sz="4" w:space="0"/>
            </w:tcBorders>
            <w:shd w:val="clear" w:color="auto" w:fill="auto"/>
            <w:vAlign w:val="center"/>
          </w:tcPr>
          <w:p w14:paraId="4F033339">
            <w:pPr>
              <w:spacing w:line="500" w:lineRule="exact"/>
              <w:rPr>
                <w:rFonts w:ascii="仿宋" w:hAnsi="仿宋" w:eastAsia="仿宋" w:cs="仿宋"/>
                <w:sz w:val="24"/>
                <w:szCs w:val="24"/>
              </w:rPr>
            </w:pPr>
            <w:r>
              <w:rPr>
                <w:rFonts w:hint="eastAsia" w:ascii="仿宋" w:hAnsi="仿宋" w:eastAsia="仿宋" w:cs="仿宋"/>
                <w:sz w:val="24"/>
                <w:szCs w:val="24"/>
              </w:rPr>
              <w:t>行政许可实施机构为县级以上人民政府水行政主管部门，为法定授权机构。</w:t>
            </w:r>
          </w:p>
          <w:p w14:paraId="034183DC">
            <w:pPr>
              <w:spacing w:line="500" w:lineRule="exact"/>
              <w:rPr>
                <w:rFonts w:ascii="仿宋" w:hAnsi="仿宋" w:eastAsia="仿宋" w:cs="仿宋"/>
                <w:sz w:val="24"/>
                <w:szCs w:val="24"/>
              </w:rPr>
            </w:pPr>
            <w:r>
              <w:rPr>
                <w:rFonts w:hint="eastAsia" w:ascii="仿宋" w:hAnsi="仿宋" w:eastAsia="仿宋" w:cs="仿宋"/>
                <w:sz w:val="24"/>
                <w:szCs w:val="24"/>
              </w:rPr>
              <w:t>昆明市盘龙区水务局，是办理该行政许可事项的法定机关，负责该行政许可事项的受理、审查并作出行政许可决定。</w:t>
            </w:r>
          </w:p>
        </w:tc>
      </w:tr>
    </w:tbl>
    <w:p w14:paraId="0DBE600B">
      <w:pPr>
        <w:widowControl/>
        <w:jc w:val="left"/>
        <w:rPr>
          <w:sz w:val="24"/>
          <w:szCs w:val="24"/>
        </w:rPr>
      </w:pPr>
    </w:p>
    <w:p w14:paraId="5517D2DA">
      <w:pPr>
        <w:spacing w:line="5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7付款方式：取得取水许可证后并移交采购人，</w:t>
      </w:r>
      <w:r>
        <w:rPr>
          <w:rFonts w:hint="eastAsia" w:ascii="仿宋" w:hAnsi="仿宋" w:eastAsia="仿宋" w:cs="仿宋"/>
          <w:sz w:val="24"/>
          <w:szCs w:val="24"/>
          <w:highlight w:val="yellow"/>
        </w:rPr>
        <w:t>15个工作日采购人一次性支付价款。</w:t>
      </w:r>
    </w:p>
    <w:p w14:paraId="5196A37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8服务要求：</w:t>
      </w:r>
    </w:p>
    <w:p w14:paraId="62BA0AA6">
      <w:pPr>
        <w:spacing w:line="5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8.</w:t>
      </w:r>
      <w:r>
        <w:rPr>
          <w:rFonts w:hint="eastAsia" w:ascii="仿宋" w:hAnsi="仿宋" w:eastAsia="仿宋" w:cs="仿宋"/>
          <w:sz w:val="24"/>
          <w:szCs w:val="24"/>
          <w:highlight w:val="yellow"/>
        </w:rPr>
        <w:t>1服务期限截止日期为年月日，在服务期限内完成水务局报批相关技术服务工作，取得取水许可证。</w:t>
      </w:r>
    </w:p>
    <w:p w14:paraId="4C16F44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9.不接受联合体投标。</w:t>
      </w:r>
    </w:p>
    <w:p w14:paraId="63BEC03C">
      <w:pPr>
        <w:spacing w:line="500" w:lineRule="exact"/>
        <w:outlineLvl w:val="1"/>
        <w:rPr>
          <w:rFonts w:ascii="仿宋" w:hAnsi="仿宋" w:eastAsia="仿宋" w:cs="仿宋"/>
          <w:b/>
          <w:bCs/>
          <w:sz w:val="24"/>
          <w:szCs w:val="24"/>
        </w:rPr>
      </w:pPr>
      <w:bookmarkStart w:id="14" w:name="_Toc28359003"/>
      <w:bookmarkStart w:id="15" w:name="_Toc28359080"/>
      <w:bookmarkStart w:id="16" w:name="_Toc35393622"/>
      <w:bookmarkStart w:id="17" w:name="_Toc13622"/>
      <w:bookmarkStart w:id="18" w:name="_Toc35393791"/>
      <w:r>
        <w:rPr>
          <w:rFonts w:hint="eastAsia" w:ascii="仿宋" w:hAnsi="仿宋" w:eastAsia="仿宋" w:cs="仿宋"/>
          <w:b/>
          <w:bCs/>
          <w:sz w:val="24"/>
          <w:szCs w:val="24"/>
        </w:rPr>
        <w:t>二、申请人的资格要求：</w:t>
      </w:r>
      <w:bookmarkEnd w:id="14"/>
      <w:bookmarkEnd w:id="15"/>
      <w:bookmarkEnd w:id="16"/>
      <w:bookmarkEnd w:id="17"/>
      <w:bookmarkEnd w:id="18"/>
    </w:p>
    <w:p w14:paraId="296D51FE">
      <w:pPr>
        <w:spacing w:line="500" w:lineRule="exact"/>
        <w:ind w:firstLine="480" w:firstLineChars="200"/>
        <w:rPr>
          <w:rFonts w:ascii="仿宋" w:hAnsi="仿宋" w:eastAsia="仿宋" w:cs="仿宋"/>
          <w:sz w:val="24"/>
          <w:szCs w:val="24"/>
        </w:rPr>
      </w:pPr>
      <w:bookmarkStart w:id="19" w:name="_Toc28359081"/>
      <w:bookmarkStart w:id="20" w:name="_Toc35393623"/>
      <w:bookmarkStart w:id="21" w:name="_Toc35393792"/>
      <w:bookmarkStart w:id="22" w:name="_Toc28359004"/>
      <w:r>
        <w:rPr>
          <w:rFonts w:hint="eastAsia" w:ascii="仿宋" w:hAnsi="仿宋" w:eastAsia="仿宋" w:cs="仿宋"/>
          <w:sz w:val="24"/>
          <w:szCs w:val="24"/>
        </w:rPr>
        <w:t>1.供应商需符合《中华人民共和国政府采购法》第二十二条规定的投标人资格条件；必须是在中华人民共和国境内注册，具有独立法人资格，具有本项目服务能力。</w:t>
      </w:r>
    </w:p>
    <w:p w14:paraId="4D88B29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2.不接受联合报价。</w:t>
      </w:r>
    </w:p>
    <w:p w14:paraId="40B26A2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3.单位负责人为同一人或者存在直接控股、管理关系的不同单位，不得同时参加本项目的投标；</w:t>
      </w:r>
    </w:p>
    <w:p w14:paraId="2F8303C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4.投标供应商存在以下不良信用记录情形之一的，不得推荐为成交候选人，不得确定为成交供应商：</w:t>
      </w:r>
    </w:p>
    <w:p w14:paraId="53A5451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（1）供应商被人民法院列入失信被执行人的；</w:t>
      </w:r>
    </w:p>
    <w:p w14:paraId="5B7F2A4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（2）供应商被工商行政管理部门列入企业经营异常名录的；</w:t>
      </w:r>
    </w:p>
    <w:p w14:paraId="6E4C8A5B">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（3）供应商被税务部门列入重大税收违法案件当事人名单的；</w:t>
      </w:r>
    </w:p>
    <w:p w14:paraId="3F77E261">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（4）供应商被政府采购监管部门列入政府采购严重违法失信行为记录名单的。</w:t>
      </w:r>
    </w:p>
    <w:p w14:paraId="1D7C6F0C">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本项目的特定资格要求：采购申请人在采购公告发出日期之前未被列入“信用中国”网站“严重失信主体名单”“失信被执行人”“重大税收违法失信主体”“政府采购严重违法失信行为记录名单”，未被列入中国政府采购网“政府采购严重违法失信行为信息记录名单”，由采购人及采购人将按照以上条款对参与采购的各申请人的信用信息进行查询，有不良记录的采购将被拒绝。</w:t>
      </w:r>
    </w:p>
    <w:p w14:paraId="5317191F">
      <w:pPr>
        <w:rPr>
          <w:rFonts w:ascii="Arial" w:hAnsi="Arial" w:cs="Arial"/>
          <w:color w:val="333333"/>
          <w:szCs w:val="21"/>
          <w:shd w:val="clear" w:color="auto" w:fill="FFFFFF"/>
        </w:rPr>
      </w:pPr>
    </w:p>
    <w:p w14:paraId="241F7770">
      <w:pPr>
        <w:spacing w:line="500" w:lineRule="exact"/>
        <w:rPr>
          <w:rFonts w:ascii="仿宋" w:hAnsi="仿宋" w:eastAsia="仿宋" w:cs="仿宋"/>
          <w:sz w:val="24"/>
          <w:szCs w:val="24"/>
        </w:rPr>
      </w:pPr>
      <w:r>
        <w:rPr>
          <w:rFonts w:hint="eastAsia" w:ascii="仿宋" w:hAnsi="仿宋" w:eastAsia="仿宋" w:cs="仿宋"/>
          <w:sz w:val="24"/>
          <w:szCs w:val="24"/>
        </w:rPr>
        <w:t>三、获取采购文件</w:t>
      </w:r>
      <w:bookmarkEnd w:id="19"/>
      <w:bookmarkEnd w:id="20"/>
      <w:bookmarkEnd w:id="21"/>
      <w:bookmarkEnd w:id="22"/>
    </w:p>
    <w:p w14:paraId="006FC977">
      <w:pPr>
        <w:adjustRightInd w:val="0"/>
        <w:snapToGrid w:val="0"/>
        <w:spacing w:line="360" w:lineRule="auto"/>
        <w:ind w:firstLine="540"/>
        <w:rPr>
          <w:rFonts w:ascii="仿宋_GB2312" w:hAnsi="仿宋_GB2312" w:eastAsia="仿宋_GB2312" w:cs="仿宋_GB2312"/>
          <w:szCs w:val="21"/>
        </w:rPr>
      </w:pPr>
      <w:bookmarkStart w:id="23" w:name="_Toc1811"/>
      <w:bookmarkStart w:id="24" w:name="_Toc28359092"/>
      <w:bookmarkStart w:id="25" w:name="_Toc28359015"/>
      <w:bookmarkStart w:id="26" w:name="_Toc35393632"/>
      <w:bookmarkStart w:id="27" w:name="_Toc35393801"/>
      <w:bookmarkStart w:id="28" w:name="_Toc35393794"/>
      <w:bookmarkStart w:id="29" w:name="_Toc35393625"/>
      <w:bookmarkStart w:id="30" w:name="_Toc28359007"/>
      <w:bookmarkStart w:id="31" w:name="_Toc28359084"/>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2025年6月9日</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 xml:space="preserve"> 2025年6月12日</w:t>
      </w:r>
      <w:r>
        <w:rPr>
          <w:rFonts w:hint="eastAsia" w:ascii="仿宋_GB2312" w:hAnsi="仿宋_GB2312" w:eastAsia="仿宋_GB2312" w:cs="仿宋_GB2312"/>
          <w:iCs/>
          <w:szCs w:val="21"/>
          <w:u w:val="single"/>
        </w:rPr>
        <w:t>（</w:t>
      </w:r>
      <w:r>
        <w:rPr>
          <w:rFonts w:hint="eastAsia" w:ascii="仿宋_GB2312" w:hAnsi="仿宋_GB2312" w:eastAsia="仿宋_GB2312" w:cs="仿宋_GB2312"/>
          <w:i/>
          <w:szCs w:val="21"/>
          <w:u w:val="single"/>
        </w:rPr>
        <w:t>提供期限自本公告发布之日起不得少于3个工作日</w:t>
      </w:r>
      <w:r>
        <w:rPr>
          <w:rFonts w:hint="eastAsia" w:ascii="仿宋_GB2312" w:hAnsi="仿宋_GB2312" w:eastAsia="仿宋_GB2312" w:cs="仿宋_GB2312"/>
          <w:iCs/>
          <w:szCs w:val="21"/>
          <w:u w:val="single"/>
        </w:rPr>
        <w:t>）</w:t>
      </w:r>
      <w:r>
        <w:rPr>
          <w:rFonts w:hint="eastAsia" w:ascii="仿宋_GB2312" w:hAnsi="仿宋_GB2312" w:eastAsia="仿宋_GB2312" w:cs="仿宋_GB2312"/>
          <w:szCs w:val="21"/>
        </w:rPr>
        <w:t>（北京时间，法定节假日除外）</w:t>
      </w:r>
    </w:p>
    <w:p w14:paraId="4130557A">
      <w:pPr>
        <w:adjustRightInd w:val="0"/>
        <w:snapToGrid w:val="0"/>
        <w:spacing w:line="360" w:lineRule="auto"/>
        <w:ind w:firstLine="540"/>
        <w:rPr>
          <w:rFonts w:ascii="仿宋_GB2312" w:hAnsi="仿宋_GB2312" w:eastAsia="仿宋_GB2312" w:cs="仿宋_GB2312"/>
          <w:szCs w:val="21"/>
          <w:u w:val="single"/>
        </w:rPr>
      </w:pPr>
      <w:r>
        <w:rPr>
          <w:rFonts w:hint="eastAsia" w:ascii="仿宋_GB2312" w:hAnsi="仿宋_GB2312" w:eastAsia="仿宋_GB2312" w:cs="仿宋_GB2312"/>
          <w:szCs w:val="21"/>
        </w:rPr>
        <w:t>地点:www.kib.ac.cn</w:t>
      </w:r>
    </w:p>
    <w:p w14:paraId="06973CC6">
      <w:pPr>
        <w:adjustRightInd w:val="0"/>
        <w:snapToGrid w:val="0"/>
        <w:spacing w:line="360" w:lineRule="auto"/>
        <w:ind w:firstLine="540"/>
        <w:rPr>
          <w:rFonts w:ascii="仿宋_GB2312" w:hAnsi="仿宋_GB2312" w:eastAsia="仿宋_GB2312" w:cs="仿宋_GB2312"/>
          <w:szCs w:val="21"/>
          <w:u w:val="single"/>
        </w:rPr>
      </w:pPr>
      <w:r>
        <w:rPr>
          <w:rFonts w:hint="eastAsia" w:ascii="仿宋_GB2312" w:hAnsi="仿宋_GB2312" w:eastAsia="仿宋_GB2312" w:cs="仿宋_GB2312"/>
          <w:szCs w:val="21"/>
        </w:rPr>
        <w:t>方式：线上</w:t>
      </w:r>
    </w:p>
    <w:p w14:paraId="7CBF3230">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售价：免费</w:t>
      </w:r>
    </w:p>
    <w:p w14:paraId="78DC47D6">
      <w:pPr>
        <w:spacing w:line="500" w:lineRule="exact"/>
        <w:outlineLvl w:val="1"/>
        <w:rPr>
          <w:rFonts w:ascii="仿宋" w:hAnsi="仿宋" w:eastAsia="仿宋" w:cs="仿宋"/>
          <w:b/>
          <w:bCs/>
          <w:sz w:val="24"/>
          <w:szCs w:val="24"/>
        </w:rPr>
      </w:pPr>
      <w:r>
        <w:rPr>
          <w:rFonts w:hint="eastAsia" w:ascii="仿宋" w:hAnsi="仿宋" w:eastAsia="仿宋" w:cs="仿宋"/>
          <w:b/>
          <w:bCs/>
          <w:sz w:val="24"/>
          <w:szCs w:val="24"/>
        </w:rPr>
        <w:t>四、响应文件提交</w:t>
      </w:r>
      <w:bookmarkEnd w:id="23"/>
      <w:bookmarkEnd w:id="24"/>
      <w:bookmarkEnd w:id="25"/>
      <w:bookmarkEnd w:id="26"/>
      <w:bookmarkEnd w:id="27"/>
    </w:p>
    <w:p w14:paraId="48F4AED8">
      <w:pPr>
        <w:adjustRightInd w:val="0"/>
        <w:snapToGrid w:val="0"/>
        <w:spacing w:line="360" w:lineRule="auto"/>
        <w:ind w:firstLine="480" w:firstLineChars="200"/>
        <w:rPr>
          <w:rFonts w:hint="eastAsia" w:ascii="仿宋_GB2312" w:hAnsi="仿宋_GB2312" w:eastAsia="仿宋_GB2312" w:cs="仿宋_GB2312"/>
          <w:bCs/>
          <w:sz w:val="24"/>
          <w:szCs w:val="24"/>
          <w:u w:val="single"/>
        </w:rPr>
      </w:pPr>
      <w:bookmarkStart w:id="32" w:name="_Toc28359093"/>
      <w:bookmarkStart w:id="33" w:name="_Toc35393802"/>
      <w:bookmarkStart w:id="34" w:name="_Toc21291"/>
      <w:bookmarkStart w:id="35" w:name="_Toc35393633"/>
      <w:bookmarkStart w:id="36" w:name="_Toc28359016"/>
      <w:r>
        <w:rPr>
          <w:rFonts w:hint="eastAsia" w:ascii="仿宋_GB2312" w:hAnsi="仿宋_GB2312" w:eastAsia="仿宋_GB2312" w:cs="仿宋_GB2312"/>
          <w:bCs/>
          <w:sz w:val="24"/>
          <w:szCs w:val="24"/>
        </w:rPr>
        <w:t>时间:</w:t>
      </w:r>
      <w:r>
        <w:rPr>
          <w:rFonts w:hint="eastAsia" w:ascii="仿宋_GB2312" w:hAnsi="仿宋_GB2312" w:eastAsia="仿宋_GB2312" w:cs="仿宋_GB2312"/>
          <w:bCs/>
          <w:sz w:val="24"/>
          <w:szCs w:val="24"/>
          <w:u w:val="single"/>
        </w:rPr>
        <w:t>2025年6月12日14点00分</w:t>
      </w:r>
      <w:r>
        <w:rPr>
          <w:rFonts w:hint="eastAsia" w:ascii="仿宋_GB2312" w:hAnsi="仿宋_GB2312" w:eastAsia="仿宋_GB2312" w:cs="仿宋_GB2312"/>
          <w:bCs/>
          <w:sz w:val="24"/>
          <w:szCs w:val="24"/>
        </w:rPr>
        <w:t>（北京时间）</w:t>
      </w:r>
    </w:p>
    <w:p w14:paraId="1AF1DA8D">
      <w:pPr>
        <w:adjustRightInd w:val="0"/>
        <w:snapToGrid w:val="0"/>
        <w:spacing w:line="360" w:lineRule="auto"/>
        <w:ind w:firstLine="480" w:firstLineChars="200"/>
        <w:rPr>
          <w:rFonts w:ascii="仿宋_GB2312" w:hAnsi="仿宋_GB2312" w:eastAsia="仿宋_GB2312" w:cs="仿宋_GB2312"/>
          <w:bCs/>
          <w:sz w:val="24"/>
          <w:szCs w:val="24"/>
          <w:highlight w:val="yellow"/>
          <w:u w:val="single"/>
        </w:rPr>
      </w:pPr>
      <w:r>
        <w:rPr>
          <w:rFonts w:hint="eastAsia" w:ascii="仿宋_GB2312" w:hAnsi="仿宋_GB2312" w:eastAsia="仿宋_GB2312" w:cs="仿宋_GB2312"/>
          <w:sz w:val="24"/>
          <w:szCs w:val="24"/>
        </w:rPr>
        <w:t>地点：</w:t>
      </w:r>
      <w:r>
        <w:rPr>
          <w:rFonts w:hint="eastAsia" w:ascii="仿宋_GB2312" w:hAnsi="仿宋_GB2312" w:eastAsia="仿宋_GB2312" w:cs="仿宋_GB2312"/>
          <w:bCs/>
          <w:sz w:val="24"/>
          <w:szCs w:val="24"/>
          <w:u w:val="single"/>
        </w:rPr>
        <w:t>云南省昆明市盘龙区蓝黑路132号中国科学院昆明植物研究所蔡希陶旧居</w:t>
      </w:r>
    </w:p>
    <w:bookmarkEnd w:id="32"/>
    <w:bookmarkEnd w:id="33"/>
    <w:bookmarkEnd w:id="34"/>
    <w:bookmarkEnd w:id="35"/>
    <w:bookmarkEnd w:id="36"/>
    <w:p w14:paraId="1FCCBE66">
      <w:pPr>
        <w:spacing w:line="500" w:lineRule="exact"/>
        <w:outlineLvl w:val="1"/>
        <w:rPr>
          <w:rFonts w:ascii="仿宋" w:hAnsi="仿宋" w:eastAsia="仿宋" w:cs="仿宋"/>
          <w:b/>
          <w:bCs/>
          <w:sz w:val="24"/>
          <w:szCs w:val="24"/>
        </w:rPr>
      </w:pPr>
      <w:bookmarkStart w:id="37" w:name="_Toc7686"/>
      <w:r>
        <w:rPr>
          <w:rFonts w:hint="eastAsia" w:ascii="仿宋" w:hAnsi="仿宋" w:eastAsia="仿宋" w:cs="仿宋"/>
          <w:b/>
          <w:bCs/>
          <w:sz w:val="24"/>
          <w:szCs w:val="24"/>
        </w:rPr>
        <w:t>五、公告期限</w:t>
      </w:r>
      <w:bookmarkEnd w:id="28"/>
      <w:bookmarkEnd w:id="29"/>
      <w:bookmarkEnd w:id="30"/>
      <w:bookmarkEnd w:id="31"/>
      <w:bookmarkEnd w:id="37"/>
    </w:p>
    <w:p w14:paraId="64519ED0">
      <w:pPr>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自本公告发布之日起3个工作日。</w:t>
      </w:r>
    </w:p>
    <w:p w14:paraId="561FB23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六、质疑与投诉</w:t>
      </w:r>
    </w:p>
    <w:p w14:paraId="3218BE5E">
      <w:pPr>
        <w:widowControl/>
        <w:adjustRightInd w:val="0"/>
        <w:snapToGrid w:val="0"/>
        <w:spacing w:line="360" w:lineRule="auto"/>
        <w:ind w:firstLine="539"/>
        <w:rPr>
          <w:rFonts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供应商认为自己的权益受到损害的，可以在知道或者应知其权益受到损害之日起七个工作日内，向采购人提出质疑。</w:t>
      </w:r>
    </w:p>
    <w:p w14:paraId="717DE5D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七、对本次采购提出询问，请按以下方式联系。</w:t>
      </w:r>
    </w:p>
    <w:p w14:paraId="7641B82C">
      <w:pPr>
        <w:adjustRightInd w:val="0"/>
        <w:snapToGrid w:val="0"/>
        <w:spacing w:line="360" w:lineRule="auto"/>
        <w:ind w:left="284"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1.采购人信息</w:t>
      </w:r>
    </w:p>
    <w:p w14:paraId="5D0C55BB">
      <w:pPr>
        <w:widowControl/>
        <w:adjustRightInd w:val="0"/>
        <w:snapToGrid w:val="0"/>
        <w:spacing w:line="360" w:lineRule="auto"/>
        <w:ind w:left="284" w:firstLine="140" w:firstLineChars="67"/>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名称： </w:t>
      </w:r>
      <w:r>
        <w:rPr>
          <w:rFonts w:hint="eastAsia" w:ascii="仿宋_GB2312" w:hAnsi="仿宋_GB2312" w:eastAsia="仿宋_GB2312" w:cs="仿宋_GB2312"/>
          <w:szCs w:val="21"/>
          <w:u w:val="single"/>
        </w:rPr>
        <w:t>中国科学院昆明植物研究所</w:t>
      </w:r>
    </w:p>
    <w:p w14:paraId="07FBD45D">
      <w:pPr>
        <w:widowControl/>
        <w:adjustRightInd w:val="0"/>
        <w:snapToGrid w:val="0"/>
        <w:spacing w:line="360" w:lineRule="auto"/>
        <w:ind w:left="284" w:firstLine="140" w:firstLineChars="67"/>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地址： </w:t>
      </w:r>
      <w:r>
        <w:rPr>
          <w:rFonts w:hint="eastAsia" w:ascii="仿宋_GB2312" w:hAnsi="仿宋_GB2312" w:eastAsia="仿宋_GB2312" w:cs="仿宋_GB2312"/>
          <w:szCs w:val="21"/>
          <w:u w:val="single"/>
        </w:rPr>
        <w:t>云南省昆明市盘龙区蓝黑路132号</w:t>
      </w:r>
    </w:p>
    <w:p w14:paraId="11D6D745">
      <w:pPr>
        <w:widowControl/>
        <w:adjustRightInd w:val="0"/>
        <w:snapToGrid w:val="0"/>
        <w:spacing w:line="360" w:lineRule="auto"/>
        <w:ind w:left="284" w:firstLine="140" w:firstLineChars="67"/>
        <w:rPr>
          <w:rFonts w:ascii="仿宋_GB2312" w:hAnsi="仿宋_GB2312" w:eastAsia="仿宋_GB2312" w:cs="仿宋_GB2312"/>
          <w:kern w:val="0"/>
          <w:szCs w:val="21"/>
        </w:rPr>
      </w:pPr>
      <w:r>
        <w:rPr>
          <w:rFonts w:hint="eastAsia" w:ascii="仿宋_GB2312" w:hAnsi="仿宋_GB2312" w:eastAsia="仿宋_GB2312" w:cs="仿宋_GB2312"/>
          <w:kern w:val="0"/>
          <w:szCs w:val="21"/>
        </w:rPr>
        <w:t>联系方式：0871-65223316</w:t>
      </w:r>
    </w:p>
    <w:p w14:paraId="539E3ABB">
      <w:pPr>
        <w:adjustRightInd w:val="0"/>
        <w:snapToGrid w:val="0"/>
        <w:spacing w:line="360" w:lineRule="auto"/>
        <w:ind w:left="284"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2.项目联系方式</w:t>
      </w:r>
    </w:p>
    <w:p w14:paraId="00EB9EB6">
      <w:pPr>
        <w:adjustRightInd w:val="0"/>
        <w:snapToGrid w:val="0"/>
        <w:spacing w:line="360" w:lineRule="auto"/>
        <w:ind w:left="284"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 xml:space="preserve">项目联系人：艾老师 </w:t>
      </w:r>
    </w:p>
    <w:p w14:paraId="3F3CD997">
      <w:pPr>
        <w:adjustRightInd w:val="0"/>
        <w:snapToGrid w:val="0"/>
        <w:spacing w:line="360" w:lineRule="auto"/>
        <w:ind w:left="284"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电　话：15925124582</w:t>
      </w:r>
    </w:p>
    <w:p w14:paraId="71E63C1A">
      <w:pPr>
        <w:pStyle w:val="23"/>
        <w:ind w:left="0" w:firstLine="684" w:firstLineChars="300"/>
        <w:rPr>
          <w:rFonts w:ascii="仿宋" w:hAnsi="仿宋" w:eastAsia="仿宋" w:cs="仿宋"/>
          <w:spacing w:val="-6"/>
        </w:rPr>
      </w:pPr>
    </w:p>
    <w:p w14:paraId="5518DAB8">
      <w:pPr>
        <w:spacing w:line="500" w:lineRule="exact"/>
        <w:rPr>
          <w:rFonts w:ascii="仿宋" w:hAnsi="仿宋" w:eastAsia="仿宋" w:cs="仿宋"/>
          <w:kern w:val="0"/>
          <w:sz w:val="24"/>
          <w:szCs w:val="24"/>
        </w:rPr>
      </w:pPr>
    </w:p>
    <w:bookmarkEnd w:id="6"/>
    <w:bookmarkEnd w:id="7"/>
    <w:p w14:paraId="68E9791D">
      <w:pPr>
        <w:pStyle w:val="2"/>
        <w:numPr>
          <w:ilvl w:val="0"/>
          <w:numId w:val="3"/>
        </w:numPr>
        <w:snapToGrid w:val="0"/>
        <w:spacing w:line="360" w:lineRule="auto"/>
        <w:jc w:val="center"/>
        <w:rPr>
          <w:rFonts w:ascii="仿宋" w:hAnsi="仿宋" w:eastAsia="仿宋" w:cs="仿宋"/>
          <w:iCs/>
          <w:sz w:val="44"/>
          <w:szCs w:val="44"/>
        </w:rPr>
      </w:pPr>
      <w:bookmarkStart w:id="38" w:name="_Toc29033"/>
      <w:bookmarkStart w:id="39" w:name="_Toc62031134"/>
      <w:r>
        <w:rPr>
          <w:rFonts w:hint="eastAsia" w:ascii="仿宋" w:hAnsi="仿宋" w:eastAsia="仿宋" w:cs="仿宋"/>
          <w:iCs/>
          <w:sz w:val="44"/>
          <w:szCs w:val="44"/>
        </w:rPr>
        <w:t>供应商须知</w:t>
      </w:r>
      <w:bookmarkEnd w:id="38"/>
      <w:bookmarkEnd w:id="39"/>
    </w:p>
    <w:p w14:paraId="3A71FA0D">
      <w:pPr>
        <w:jc w:val="center"/>
        <w:rPr>
          <w:rFonts w:ascii="仿宋" w:hAnsi="仿宋" w:eastAsia="仿宋" w:cs="仿宋"/>
          <w:sz w:val="28"/>
          <w:szCs w:val="32"/>
        </w:rPr>
      </w:pPr>
      <w:bookmarkStart w:id="40" w:name="_Toc62031135"/>
      <w:r>
        <w:rPr>
          <w:rFonts w:hint="eastAsia" w:ascii="仿宋" w:hAnsi="仿宋" w:eastAsia="仿宋" w:cs="仿宋"/>
          <w:sz w:val="28"/>
          <w:szCs w:val="32"/>
        </w:rPr>
        <w:t>供应商须知前附表</w:t>
      </w:r>
      <w:bookmarkEnd w:id="40"/>
    </w:p>
    <w:tbl>
      <w:tblPr>
        <w:tblStyle w:val="24"/>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73"/>
        <w:gridCol w:w="1578"/>
        <w:gridCol w:w="7651"/>
      </w:tblGrid>
      <w:tr w14:paraId="1AF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tblHeader/>
          <w:jc w:val="center"/>
        </w:trPr>
        <w:tc>
          <w:tcPr>
            <w:tcW w:w="973" w:type="dxa"/>
            <w:vAlign w:val="center"/>
          </w:tcPr>
          <w:p w14:paraId="46CDE437">
            <w:pPr>
              <w:pStyle w:val="15"/>
              <w:spacing w:line="420" w:lineRule="exact"/>
              <w:jc w:val="center"/>
              <w:rPr>
                <w:rFonts w:ascii="仿宋" w:hAnsi="仿宋" w:eastAsia="仿宋" w:cs="仿宋"/>
                <w:b/>
                <w:szCs w:val="21"/>
              </w:rPr>
            </w:pPr>
            <w:r>
              <w:rPr>
                <w:rFonts w:hint="eastAsia" w:ascii="仿宋" w:hAnsi="仿宋" w:eastAsia="仿宋" w:cs="仿宋"/>
                <w:b/>
                <w:szCs w:val="21"/>
              </w:rPr>
              <w:t>条款号</w:t>
            </w:r>
          </w:p>
        </w:tc>
        <w:tc>
          <w:tcPr>
            <w:tcW w:w="1578" w:type="dxa"/>
            <w:vAlign w:val="center"/>
          </w:tcPr>
          <w:p w14:paraId="437754A6">
            <w:pPr>
              <w:pStyle w:val="15"/>
              <w:spacing w:line="420" w:lineRule="exact"/>
              <w:jc w:val="center"/>
              <w:rPr>
                <w:rFonts w:ascii="仿宋" w:hAnsi="仿宋" w:eastAsia="仿宋" w:cs="仿宋"/>
                <w:b/>
                <w:szCs w:val="21"/>
              </w:rPr>
            </w:pPr>
            <w:r>
              <w:rPr>
                <w:rFonts w:hint="eastAsia" w:ascii="仿宋" w:hAnsi="仿宋" w:eastAsia="仿宋" w:cs="仿宋"/>
                <w:b/>
                <w:szCs w:val="21"/>
              </w:rPr>
              <w:t>条 款 名 称</w:t>
            </w:r>
          </w:p>
        </w:tc>
        <w:tc>
          <w:tcPr>
            <w:tcW w:w="7651" w:type="dxa"/>
            <w:vAlign w:val="center"/>
          </w:tcPr>
          <w:p w14:paraId="51DC9E63">
            <w:pPr>
              <w:pStyle w:val="15"/>
              <w:spacing w:line="420" w:lineRule="exact"/>
              <w:jc w:val="center"/>
              <w:rPr>
                <w:rFonts w:ascii="仿宋" w:hAnsi="仿宋" w:eastAsia="仿宋" w:cs="仿宋"/>
                <w:b/>
                <w:szCs w:val="21"/>
              </w:rPr>
            </w:pPr>
            <w:r>
              <w:rPr>
                <w:rFonts w:hint="eastAsia" w:ascii="仿宋" w:hAnsi="仿宋" w:eastAsia="仿宋" w:cs="仿宋"/>
                <w:b/>
                <w:szCs w:val="21"/>
              </w:rPr>
              <w:t>编 列 内 容</w:t>
            </w:r>
          </w:p>
        </w:tc>
      </w:tr>
      <w:tr w14:paraId="203A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restart"/>
            <w:vAlign w:val="center"/>
          </w:tcPr>
          <w:p w14:paraId="7D610CC7">
            <w:pPr>
              <w:pStyle w:val="15"/>
              <w:spacing w:line="420" w:lineRule="exact"/>
              <w:jc w:val="center"/>
              <w:rPr>
                <w:rFonts w:ascii="仿宋" w:hAnsi="仿宋" w:eastAsia="仿宋" w:cs="仿宋"/>
                <w:szCs w:val="21"/>
              </w:rPr>
            </w:pPr>
            <w:r>
              <w:rPr>
                <w:rFonts w:hint="eastAsia" w:ascii="仿宋" w:hAnsi="仿宋" w:eastAsia="仿宋" w:cs="仿宋"/>
                <w:szCs w:val="21"/>
              </w:rPr>
              <w:t>1.2</w:t>
            </w:r>
          </w:p>
        </w:tc>
        <w:tc>
          <w:tcPr>
            <w:tcW w:w="1578" w:type="dxa"/>
            <w:vAlign w:val="center"/>
          </w:tcPr>
          <w:p w14:paraId="17445FAD">
            <w:pPr>
              <w:pStyle w:val="15"/>
              <w:spacing w:line="420" w:lineRule="exact"/>
              <w:rPr>
                <w:rFonts w:ascii="仿宋" w:hAnsi="仿宋" w:eastAsia="仿宋" w:cs="仿宋"/>
                <w:szCs w:val="21"/>
                <w:u w:val="single"/>
              </w:rPr>
            </w:pPr>
            <w:r>
              <w:rPr>
                <w:rFonts w:hint="eastAsia" w:ascii="仿宋" w:hAnsi="仿宋" w:eastAsia="仿宋" w:cs="仿宋"/>
                <w:bCs/>
                <w:szCs w:val="21"/>
              </w:rPr>
              <w:t>采购人</w:t>
            </w:r>
          </w:p>
        </w:tc>
        <w:tc>
          <w:tcPr>
            <w:tcW w:w="7651" w:type="dxa"/>
            <w:vAlign w:val="center"/>
          </w:tcPr>
          <w:p w14:paraId="53073997">
            <w:pPr>
              <w:spacing w:line="420" w:lineRule="exact"/>
              <w:rPr>
                <w:rFonts w:ascii="仿宋" w:hAnsi="仿宋" w:eastAsia="仿宋" w:cs="仿宋"/>
                <w:szCs w:val="21"/>
              </w:rPr>
            </w:pPr>
            <w:r>
              <w:rPr>
                <w:rFonts w:hint="eastAsia" w:ascii="仿宋" w:hAnsi="仿宋" w:eastAsia="仿宋" w:cs="仿宋"/>
                <w:szCs w:val="21"/>
              </w:rPr>
              <w:t>中国科学院昆明植物研究所</w:t>
            </w:r>
            <w:r>
              <w:rPr>
                <w:rFonts w:hint="eastAsia" w:ascii="仿宋" w:hAnsi="仿宋" w:eastAsia="仿宋" w:cs="仿宋"/>
                <w:szCs w:val="21"/>
              </w:rPr>
              <w:tab/>
            </w:r>
          </w:p>
        </w:tc>
      </w:tr>
      <w:tr w14:paraId="5A90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continue"/>
            <w:vAlign w:val="center"/>
          </w:tcPr>
          <w:p w14:paraId="27FA9E3A">
            <w:pPr>
              <w:spacing w:line="420" w:lineRule="exact"/>
              <w:rPr>
                <w:rFonts w:ascii="仿宋" w:hAnsi="仿宋" w:eastAsia="仿宋" w:cs="仿宋"/>
                <w:szCs w:val="21"/>
              </w:rPr>
            </w:pPr>
          </w:p>
        </w:tc>
        <w:tc>
          <w:tcPr>
            <w:tcW w:w="1578" w:type="dxa"/>
            <w:vAlign w:val="center"/>
          </w:tcPr>
          <w:p w14:paraId="7169D4B2">
            <w:pPr>
              <w:pStyle w:val="15"/>
              <w:spacing w:line="420" w:lineRule="exact"/>
              <w:rPr>
                <w:rFonts w:ascii="仿宋" w:hAnsi="仿宋" w:eastAsia="仿宋" w:cs="仿宋"/>
                <w:szCs w:val="21"/>
              </w:rPr>
            </w:pPr>
            <w:r>
              <w:rPr>
                <w:rFonts w:hint="eastAsia" w:ascii="仿宋" w:hAnsi="仿宋" w:eastAsia="仿宋" w:cs="仿宋"/>
                <w:szCs w:val="21"/>
              </w:rPr>
              <w:t>项目名称</w:t>
            </w:r>
          </w:p>
        </w:tc>
        <w:tc>
          <w:tcPr>
            <w:tcW w:w="7651" w:type="dxa"/>
            <w:vAlign w:val="center"/>
          </w:tcPr>
          <w:p w14:paraId="5A79624A">
            <w:pPr>
              <w:spacing w:line="420" w:lineRule="exact"/>
              <w:rPr>
                <w:rFonts w:ascii="仿宋" w:hAnsi="仿宋" w:eastAsia="仿宋" w:cs="仿宋"/>
                <w:szCs w:val="21"/>
              </w:rPr>
            </w:pPr>
            <w:r>
              <w:rPr>
                <w:rFonts w:hint="eastAsia" w:ascii="仿宋" w:hAnsi="仿宋" w:eastAsia="仿宋" w:cs="仿宋"/>
                <w:szCs w:val="21"/>
              </w:rPr>
              <w:t>中国科学院昆明植物研究所水资源取水许可证办理服务采购文件</w:t>
            </w:r>
          </w:p>
        </w:tc>
      </w:tr>
      <w:tr w14:paraId="27FB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continue"/>
            <w:vAlign w:val="center"/>
          </w:tcPr>
          <w:p w14:paraId="0B8CD6A1">
            <w:pPr>
              <w:spacing w:line="420" w:lineRule="exact"/>
              <w:rPr>
                <w:rFonts w:ascii="仿宋" w:hAnsi="仿宋" w:eastAsia="仿宋" w:cs="仿宋"/>
                <w:szCs w:val="21"/>
              </w:rPr>
            </w:pPr>
          </w:p>
        </w:tc>
        <w:tc>
          <w:tcPr>
            <w:tcW w:w="1578" w:type="dxa"/>
            <w:vAlign w:val="center"/>
          </w:tcPr>
          <w:p w14:paraId="5C1FC652">
            <w:pPr>
              <w:spacing w:line="420" w:lineRule="exact"/>
              <w:rPr>
                <w:rFonts w:ascii="仿宋" w:hAnsi="仿宋" w:eastAsia="仿宋" w:cs="仿宋"/>
                <w:szCs w:val="21"/>
              </w:rPr>
            </w:pPr>
            <w:r>
              <w:rPr>
                <w:rFonts w:hint="eastAsia" w:ascii="仿宋" w:hAnsi="仿宋" w:eastAsia="仿宋" w:cs="仿宋"/>
                <w:szCs w:val="21"/>
              </w:rPr>
              <w:t>项目编号</w:t>
            </w:r>
          </w:p>
        </w:tc>
        <w:tc>
          <w:tcPr>
            <w:tcW w:w="7651" w:type="dxa"/>
            <w:vAlign w:val="center"/>
          </w:tcPr>
          <w:p w14:paraId="6EB63A5E">
            <w:pPr>
              <w:spacing w:line="420" w:lineRule="exact"/>
              <w:rPr>
                <w:rFonts w:ascii="仿宋" w:hAnsi="仿宋" w:eastAsia="仿宋" w:cs="仿宋"/>
                <w:szCs w:val="21"/>
              </w:rPr>
            </w:pPr>
            <w:r>
              <w:rPr>
                <w:rFonts w:hint="eastAsia" w:ascii="仿宋" w:hAnsi="仿宋" w:eastAsia="仿宋" w:cs="仿宋"/>
                <w:szCs w:val="21"/>
              </w:rPr>
              <w:t>KIBKC094</w:t>
            </w:r>
          </w:p>
        </w:tc>
      </w:tr>
      <w:tr w14:paraId="46AC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59" w:hRule="atLeast"/>
          <w:jc w:val="center"/>
        </w:trPr>
        <w:tc>
          <w:tcPr>
            <w:tcW w:w="973" w:type="dxa"/>
            <w:vAlign w:val="center"/>
          </w:tcPr>
          <w:p w14:paraId="2D2EC3FF">
            <w:pPr>
              <w:spacing w:line="420" w:lineRule="exact"/>
              <w:jc w:val="center"/>
              <w:rPr>
                <w:rFonts w:ascii="仿宋" w:hAnsi="仿宋" w:eastAsia="仿宋" w:cs="仿宋"/>
                <w:szCs w:val="21"/>
              </w:rPr>
            </w:pPr>
            <w:r>
              <w:rPr>
                <w:rFonts w:hint="eastAsia" w:ascii="仿宋" w:hAnsi="仿宋" w:eastAsia="仿宋" w:cs="仿宋"/>
                <w:szCs w:val="21"/>
              </w:rPr>
              <w:t>2.1</w:t>
            </w:r>
          </w:p>
        </w:tc>
        <w:tc>
          <w:tcPr>
            <w:tcW w:w="1578" w:type="dxa"/>
            <w:vAlign w:val="center"/>
          </w:tcPr>
          <w:p w14:paraId="4EEE460C">
            <w:pPr>
              <w:spacing w:line="420" w:lineRule="exact"/>
              <w:rPr>
                <w:rFonts w:ascii="仿宋" w:hAnsi="仿宋" w:eastAsia="仿宋" w:cs="仿宋"/>
                <w:szCs w:val="21"/>
              </w:rPr>
            </w:pPr>
            <w:r>
              <w:rPr>
                <w:rFonts w:hint="eastAsia" w:ascii="仿宋" w:hAnsi="仿宋" w:eastAsia="仿宋" w:cs="仿宋"/>
                <w:szCs w:val="21"/>
              </w:rPr>
              <w:t>资金来源</w:t>
            </w:r>
          </w:p>
        </w:tc>
        <w:tc>
          <w:tcPr>
            <w:tcW w:w="7651" w:type="dxa"/>
            <w:vAlign w:val="center"/>
          </w:tcPr>
          <w:p w14:paraId="105299E5">
            <w:pPr>
              <w:spacing w:line="420" w:lineRule="exact"/>
              <w:rPr>
                <w:rFonts w:ascii="仿宋" w:hAnsi="仿宋" w:eastAsia="仿宋" w:cs="仿宋"/>
                <w:szCs w:val="21"/>
              </w:rPr>
            </w:pPr>
            <w:r>
              <w:rPr>
                <w:rFonts w:hint="eastAsia" w:ascii="仿宋" w:hAnsi="仿宋" w:eastAsia="仿宋" w:cs="仿宋"/>
                <w:szCs w:val="21"/>
              </w:rPr>
              <w:t>财政资金，已落实</w:t>
            </w:r>
          </w:p>
        </w:tc>
      </w:tr>
      <w:tr w14:paraId="28E3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9FF46AC">
            <w:pPr>
              <w:pStyle w:val="15"/>
              <w:spacing w:line="420" w:lineRule="exact"/>
              <w:jc w:val="center"/>
              <w:rPr>
                <w:rFonts w:ascii="仿宋" w:hAnsi="仿宋" w:eastAsia="仿宋" w:cs="仿宋"/>
                <w:szCs w:val="21"/>
              </w:rPr>
            </w:pPr>
            <w:r>
              <w:rPr>
                <w:rFonts w:hint="eastAsia" w:ascii="仿宋" w:hAnsi="仿宋" w:eastAsia="仿宋" w:cs="仿宋"/>
                <w:szCs w:val="21"/>
              </w:rPr>
              <w:t>3.1</w:t>
            </w:r>
          </w:p>
        </w:tc>
        <w:tc>
          <w:tcPr>
            <w:tcW w:w="1578" w:type="dxa"/>
            <w:vAlign w:val="center"/>
          </w:tcPr>
          <w:p w14:paraId="28890475">
            <w:pPr>
              <w:spacing w:line="420" w:lineRule="exact"/>
              <w:rPr>
                <w:rFonts w:ascii="仿宋" w:hAnsi="仿宋" w:eastAsia="仿宋" w:cs="仿宋"/>
                <w:szCs w:val="21"/>
              </w:rPr>
            </w:pPr>
            <w:r>
              <w:rPr>
                <w:rFonts w:hint="eastAsia" w:ascii="仿宋" w:hAnsi="仿宋" w:eastAsia="仿宋" w:cs="仿宋"/>
                <w:szCs w:val="21"/>
              </w:rPr>
              <w:t>采购内容</w:t>
            </w:r>
          </w:p>
        </w:tc>
        <w:tc>
          <w:tcPr>
            <w:tcW w:w="7651" w:type="dxa"/>
            <w:vAlign w:val="center"/>
          </w:tcPr>
          <w:p w14:paraId="6D396292">
            <w:pPr>
              <w:spacing w:line="420" w:lineRule="exact"/>
              <w:rPr>
                <w:rFonts w:ascii="仿宋" w:hAnsi="仿宋" w:eastAsia="仿宋" w:cs="仿宋"/>
                <w:szCs w:val="21"/>
              </w:rPr>
            </w:pPr>
            <w:r>
              <w:rPr>
                <w:rFonts w:hint="eastAsia" w:ascii="仿宋" w:hAnsi="仿宋" w:eastAsia="仿宋" w:cs="仿宋"/>
                <w:szCs w:val="21"/>
              </w:rPr>
              <w:t>详见“第六章 采购需求”</w:t>
            </w:r>
          </w:p>
        </w:tc>
      </w:tr>
      <w:tr w14:paraId="40F5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77" w:hRule="atLeast"/>
          <w:jc w:val="center"/>
        </w:trPr>
        <w:tc>
          <w:tcPr>
            <w:tcW w:w="973" w:type="dxa"/>
            <w:vAlign w:val="center"/>
          </w:tcPr>
          <w:p w14:paraId="6AD71E96">
            <w:pPr>
              <w:pStyle w:val="15"/>
              <w:spacing w:line="420" w:lineRule="exact"/>
              <w:jc w:val="center"/>
              <w:rPr>
                <w:rFonts w:ascii="仿宋" w:hAnsi="仿宋" w:eastAsia="仿宋" w:cs="仿宋"/>
                <w:szCs w:val="21"/>
              </w:rPr>
            </w:pPr>
            <w:r>
              <w:rPr>
                <w:rFonts w:hint="eastAsia" w:ascii="仿宋" w:hAnsi="仿宋" w:eastAsia="仿宋" w:cs="仿宋"/>
                <w:szCs w:val="21"/>
              </w:rPr>
              <w:t>3.2</w:t>
            </w:r>
          </w:p>
        </w:tc>
        <w:tc>
          <w:tcPr>
            <w:tcW w:w="1578" w:type="dxa"/>
            <w:vAlign w:val="center"/>
          </w:tcPr>
          <w:p w14:paraId="1E966144">
            <w:pPr>
              <w:spacing w:line="420" w:lineRule="exact"/>
              <w:rPr>
                <w:rFonts w:ascii="仿宋" w:hAnsi="仿宋" w:eastAsia="仿宋" w:cs="仿宋"/>
                <w:szCs w:val="21"/>
              </w:rPr>
            </w:pPr>
            <w:r>
              <w:rPr>
                <w:rFonts w:hint="eastAsia" w:ascii="仿宋" w:hAnsi="仿宋" w:eastAsia="仿宋" w:cs="仿宋"/>
                <w:szCs w:val="21"/>
              </w:rPr>
              <w:t>服务期限</w:t>
            </w:r>
          </w:p>
        </w:tc>
        <w:tc>
          <w:tcPr>
            <w:tcW w:w="7651" w:type="dxa"/>
            <w:vAlign w:val="center"/>
          </w:tcPr>
          <w:p w14:paraId="6C28A358">
            <w:pPr>
              <w:spacing w:line="420" w:lineRule="exact"/>
              <w:rPr>
                <w:rFonts w:ascii="仿宋" w:hAnsi="仿宋" w:eastAsia="仿宋" w:cs="仿宋"/>
                <w:szCs w:val="21"/>
              </w:rPr>
            </w:pPr>
            <w:r>
              <w:rPr>
                <w:rFonts w:hint="eastAsia" w:ascii="仿宋" w:hAnsi="仿宋" w:eastAsia="仿宋" w:cs="仿宋"/>
                <w:szCs w:val="21"/>
              </w:rPr>
              <w:t>自合同签订后至提交采购成果为止。</w:t>
            </w:r>
          </w:p>
        </w:tc>
      </w:tr>
      <w:tr w14:paraId="2BC2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54F425B9">
            <w:pPr>
              <w:pStyle w:val="15"/>
              <w:spacing w:line="420" w:lineRule="exact"/>
              <w:jc w:val="center"/>
              <w:rPr>
                <w:rFonts w:ascii="仿宋" w:hAnsi="仿宋" w:eastAsia="仿宋" w:cs="仿宋"/>
                <w:szCs w:val="21"/>
              </w:rPr>
            </w:pPr>
            <w:r>
              <w:rPr>
                <w:rFonts w:hint="eastAsia" w:ascii="仿宋" w:hAnsi="仿宋" w:eastAsia="仿宋" w:cs="仿宋"/>
                <w:szCs w:val="21"/>
              </w:rPr>
              <w:t>4.1</w:t>
            </w:r>
          </w:p>
        </w:tc>
        <w:tc>
          <w:tcPr>
            <w:tcW w:w="1578" w:type="dxa"/>
            <w:vAlign w:val="center"/>
          </w:tcPr>
          <w:p w14:paraId="438CC186">
            <w:pPr>
              <w:pStyle w:val="15"/>
              <w:spacing w:line="420" w:lineRule="exact"/>
              <w:rPr>
                <w:rFonts w:ascii="仿宋" w:hAnsi="仿宋" w:eastAsia="仿宋" w:cs="仿宋"/>
                <w:szCs w:val="21"/>
              </w:rPr>
            </w:pPr>
            <w:r>
              <w:rPr>
                <w:rFonts w:hint="eastAsia" w:ascii="仿宋" w:hAnsi="仿宋" w:eastAsia="仿宋" w:cs="仿宋"/>
                <w:bCs/>
                <w:szCs w:val="21"/>
              </w:rPr>
              <w:t>★</w:t>
            </w:r>
            <w:r>
              <w:rPr>
                <w:rFonts w:hint="eastAsia" w:ascii="仿宋" w:hAnsi="仿宋" w:eastAsia="仿宋" w:cs="仿宋"/>
                <w:szCs w:val="21"/>
              </w:rPr>
              <w:t>资格条件</w:t>
            </w:r>
          </w:p>
        </w:tc>
        <w:tc>
          <w:tcPr>
            <w:tcW w:w="7651" w:type="dxa"/>
            <w:vAlign w:val="center"/>
          </w:tcPr>
          <w:p w14:paraId="7549A1D7">
            <w:pPr>
              <w:spacing w:line="420" w:lineRule="exact"/>
              <w:rPr>
                <w:rFonts w:ascii="仿宋" w:hAnsi="仿宋" w:eastAsia="仿宋" w:cs="仿宋"/>
                <w:szCs w:val="21"/>
              </w:rPr>
            </w:pPr>
            <w:r>
              <w:rPr>
                <w:rFonts w:hint="eastAsia" w:ascii="仿宋" w:hAnsi="仿宋" w:eastAsia="仿宋" w:cs="仿宋"/>
                <w:szCs w:val="21"/>
              </w:rPr>
              <w:t>1.供应商需符合《中华人民共和国政府采购法》第二十二条规定的投标人资格条件；必须是在中华人民共和国境内注册，具有独立法人资格，具有本项目服务能力。</w:t>
            </w:r>
          </w:p>
          <w:p w14:paraId="2D1A9E59">
            <w:pPr>
              <w:spacing w:line="420" w:lineRule="exact"/>
              <w:rPr>
                <w:rFonts w:ascii="仿宋" w:hAnsi="仿宋" w:eastAsia="仿宋" w:cs="仿宋"/>
                <w:szCs w:val="21"/>
              </w:rPr>
            </w:pPr>
            <w:r>
              <w:rPr>
                <w:rFonts w:hint="eastAsia" w:ascii="仿宋" w:hAnsi="仿宋" w:eastAsia="仿宋" w:cs="仿宋"/>
                <w:szCs w:val="21"/>
              </w:rPr>
              <w:t>2.不接受联合报价。</w:t>
            </w:r>
          </w:p>
          <w:p w14:paraId="477092DC">
            <w:pPr>
              <w:spacing w:line="420" w:lineRule="exact"/>
              <w:rPr>
                <w:rFonts w:ascii="仿宋" w:hAnsi="仿宋" w:eastAsia="仿宋" w:cs="仿宋"/>
                <w:szCs w:val="21"/>
              </w:rPr>
            </w:pPr>
            <w:r>
              <w:rPr>
                <w:rFonts w:hint="eastAsia" w:ascii="仿宋" w:hAnsi="仿宋" w:eastAsia="仿宋" w:cs="仿宋"/>
                <w:szCs w:val="21"/>
              </w:rPr>
              <w:t>4.单位负责人为同一人或者存在直接控股、管理关系的不同单位，不得同时参加本项目的投标；</w:t>
            </w:r>
          </w:p>
          <w:p w14:paraId="2D58F329">
            <w:pPr>
              <w:spacing w:line="420" w:lineRule="exact"/>
              <w:rPr>
                <w:rFonts w:ascii="仿宋" w:hAnsi="仿宋" w:eastAsia="仿宋" w:cs="仿宋"/>
                <w:szCs w:val="21"/>
              </w:rPr>
            </w:pPr>
            <w:r>
              <w:rPr>
                <w:rFonts w:hint="eastAsia" w:ascii="仿宋" w:hAnsi="仿宋" w:eastAsia="仿宋" w:cs="仿宋"/>
                <w:szCs w:val="21"/>
              </w:rPr>
              <w:t>5.投标供应商存在以下不良信用记录情形之一的，不得推荐为成交候选人，不得确定为成交供应商：</w:t>
            </w:r>
          </w:p>
          <w:p w14:paraId="26CD0E33">
            <w:pPr>
              <w:spacing w:line="420" w:lineRule="exact"/>
              <w:rPr>
                <w:rFonts w:ascii="仿宋" w:hAnsi="仿宋" w:eastAsia="仿宋" w:cs="仿宋"/>
                <w:szCs w:val="21"/>
              </w:rPr>
            </w:pPr>
            <w:r>
              <w:rPr>
                <w:rFonts w:hint="eastAsia" w:ascii="仿宋" w:hAnsi="仿宋" w:eastAsia="仿宋" w:cs="仿宋"/>
                <w:szCs w:val="21"/>
              </w:rPr>
              <w:t>（1）供应商被人民法院列入失信被执行人的；</w:t>
            </w:r>
          </w:p>
          <w:p w14:paraId="35557F00">
            <w:pPr>
              <w:spacing w:line="420" w:lineRule="exact"/>
              <w:rPr>
                <w:rFonts w:ascii="仿宋" w:hAnsi="仿宋" w:eastAsia="仿宋" w:cs="仿宋"/>
                <w:szCs w:val="21"/>
              </w:rPr>
            </w:pPr>
            <w:r>
              <w:rPr>
                <w:rFonts w:hint="eastAsia" w:ascii="仿宋" w:hAnsi="仿宋" w:eastAsia="仿宋" w:cs="仿宋"/>
                <w:szCs w:val="21"/>
              </w:rPr>
              <w:t>（2）供应商被工商行政管理部门列入企业经营异常名录的；</w:t>
            </w:r>
          </w:p>
          <w:p w14:paraId="63116B61">
            <w:pPr>
              <w:spacing w:line="420" w:lineRule="exact"/>
              <w:rPr>
                <w:rFonts w:ascii="仿宋" w:hAnsi="仿宋" w:eastAsia="仿宋" w:cs="仿宋"/>
                <w:szCs w:val="21"/>
              </w:rPr>
            </w:pPr>
            <w:r>
              <w:rPr>
                <w:rFonts w:hint="eastAsia" w:ascii="仿宋" w:hAnsi="仿宋" w:eastAsia="仿宋" w:cs="仿宋"/>
                <w:szCs w:val="21"/>
              </w:rPr>
              <w:t>（3）供应商被税务部门列入重大税收违法案件当事人名单的；</w:t>
            </w:r>
          </w:p>
          <w:p w14:paraId="5BFF5B51">
            <w:pPr>
              <w:spacing w:line="420" w:lineRule="exact"/>
              <w:rPr>
                <w:rFonts w:ascii="仿宋" w:hAnsi="仿宋" w:eastAsia="仿宋" w:cs="仿宋"/>
                <w:szCs w:val="21"/>
              </w:rPr>
            </w:pPr>
            <w:r>
              <w:rPr>
                <w:rFonts w:hint="eastAsia" w:ascii="仿宋" w:hAnsi="仿宋" w:eastAsia="仿宋" w:cs="仿宋"/>
                <w:szCs w:val="21"/>
              </w:rPr>
              <w:t>（4）供应商被政府采购监管部门列入政府采购严重违法失信行为记录名单的。</w:t>
            </w:r>
          </w:p>
          <w:p w14:paraId="5A8A650D">
            <w:pPr>
              <w:spacing w:line="420" w:lineRule="exact"/>
              <w:rPr>
                <w:rFonts w:ascii="仿宋" w:hAnsi="仿宋" w:eastAsia="仿宋" w:cs="仿宋"/>
                <w:szCs w:val="21"/>
              </w:rPr>
            </w:pPr>
            <w:r>
              <w:rPr>
                <w:rFonts w:hint="eastAsia" w:ascii="仿宋" w:hAnsi="仿宋" w:eastAsia="仿宋" w:cs="仿宋"/>
                <w:szCs w:val="21"/>
              </w:rPr>
              <w:t>5.采购申请人在采购公告发出日期之前未被列入“信用中国”网站“严重失信主体名单”“失信被执行人”“重大税收违法失信主体”“政府采购严重违法失信行为记录名单”，未被列入中国政府采购网“政府采购严重违法失信行为信息记录名单”，由采购人及采购人将按照以上条款对参与采购的各申请人的信用信息进行查询，有不良记录的采购将被拒绝。</w:t>
            </w:r>
          </w:p>
        </w:tc>
      </w:tr>
      <w:tr w14:paraId="097C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D3C566E">
            <w:pPr>
              <w:pStyle w:val="15"/>
              <w:spacing w:line="420" w:lineRule="exact"/>
              <w:jc w:val="center"/>
              <w:rPr>
                <w:rFonts w:ascii="仿宋" w:hAnsi="仿宋" w:eastAsia="仿宋" w:cs="仿宋"/>
                <w:szCs w:val="21"/>
              </w:rPr>
            </w:pPr>
            <w:r>
              <w:rPr>
                <w:rFonts w:hint="eastAsia" w:ascii="仿宋" w:hAnsi="仿宋" w:eastAsia="仿宋" w:cs="仿宋"/>
                <w:szCs w:val="21"/>
              </w:rPr>
              <w:t>4.2</w:t>
            </w:r>
          </w:p>
        </w:tc>
        <w:tc>
          <w:tcPr>
            <w:tcW w:w="1578" w:type="dxa"/>
            <w:vAlign w:val="center"/>
          </w:tcPr>
          <w:p w14:paraId="1FE42A93">
            <w:pPr>
              <w:pStyle w:val="15"/>
              <w:spacing w:line="420" w:lineRule="exact"/>
              <w:rPr>
                <w:rFonts w:ascii="仿宋" w:hAnsi="仿宋" w:eastAsia="仿宋" w:cs="仿宋"/>
                <w:szCs w:val="21"/>
              </w:rPr>
            </w:pPr>
            <w:r>
              <w:rPr>
                <w:rFonts w:hint="eastAsia" w:ascii="仿宋" w:hAnsi="仿宋" w:eastAsia="仿宋" w:cs="仿宋"/>
                <w:bCs/>
                <w:szCs w:val="21"/>
              </w:rPr>
              <w:t>★根据本项目的特殊要求规定供应商应具备的特定条件</w:t>
            </w:r>
          </w:p>
        </w:tc>
        <w:tc>
          <w:tcPr>
            <w:tcW w:w="7651" w:type="dxa"/>
            <w:vAlign w:val="center"/>
          </w:tcPr>
          <w:p w14:paraId="066F2615">
            <w:pPr>
              <w:pStyle w:val="31"/>
            </w:pPr>
            <w:r>
              <w:rPr>
                <w:rFonts w:hint="eastAsia" w:ascii="仿宋" w:hAnsi="仿宋" w:eastAsia="仿宋" w:cs="仿宋"/>
                <w:bCs/>
                <w:color w:val="auto"/>
                <w:kern w:val="2"/>
                <w:sz w:val="21"/>
                <w:szCs w:val="21"/>
              </w:rPr>
              <w:t>投标人须是中华人民共和国境内合法注册成立的独立法人机构，具有有效的营业执照。</w:t>
            </w:r>
          </w:p>
        </w:tc>
      </w:tr>
      <w:tr w14:paraId="4C19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43A037D">
            <w:pPr>
              <w:pStyle w:val="15"/>
              <w:spacing w:line="420" w:lineRule="exact"/>
              <w:jc w:val="center"/>
              <w:rPr>
                <w:rFonts w:ascii="仿宋" w:hAnsi="仿宋" w:eastAsia="仿宋" w:cs="仿宋"/>
                <w:szCs w:val="21"/>
              </w:rPr>
            </w:pPr>
            <w:r>
              <w:rPr>
                <w:rFonts w:hint="eastAsia" w:ascii="仿宋" w:hAnsi="仿宋" w:eastAsia="仿宋" w:cs="仿宋"/>
                <w:szCs w:val="21"/>
              </w:rPr>
              <w:t>4.3</w:t>
            </w:r>
          </w:p>
        </w:tc>
        <w:tc>
          <w:tcPr>
            <w:tcW w:w="1578" w:type="dxa"/>
            <w:vAlign w:val="center"/>
          </w:tcPr>
          <w:p w14:paraId="7B31901B">
            <w:pPr>
              <w:pStyle w:val="15"/>
              <w:spacing w:line="420" w:lineRule="exact"/>
              <w:rPr>
                <w:rFonts w:ascii="仿宋" w:hAnsi="仿宋" w:eastAsia="仿宋" w:cs="仿宋"/>
                <w:bCs/>
                <w:szCs w:val="21"/>
              </w:rPr>
            </w:pPr>
            <w:r>
              <w:rPr>
                <w:rFonts w:hint="eastAsia" w:ascii="仿宋" w:hAnsi="仿宋" w:eastAsia="仿宋" w:cs="仿宋"/>
                <w:szCs w:val="21"/>
              </w:rPr>
              <w:t>不得参加该采购项目的情形</w:t>
            </w:r>
          </w:p>
        </w:tc>
        <w:tc>
          <w:tcPr>
            <w:tcW w:w="7651" w:type="dxa"/>
            <w:vAlign w:val="center"/>
          </w:tcPr>
          <w:p w14:paraId="1ADDCA70">
            <w:pPr>
              <w:pStyle w:val="15"/>
              <w:spacing w:line="420" w:lineRule="exact"/>
              <w:rPr>
                <w:rFonts w:ascii="仿宋" w:hAnsi="仿宋" w:eastAsia="仿宋" w:cs="仿宋"/>
                <w:szCs w:val="21"/>
              </w:rPr>
            </w:pPr>
            <w:r>
              <w:rPr>
                <w:rFonts w:hint="eastAsia" w:ascii="仿宋" w:hAnsi="仿宋" w:eastAsia="仿宋" w:cs="仿宋"/>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0B1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6C6D533">
            <w:pPr>
              <w:pStyle w:val="15"/>
              <w:spacing w:line="420" w:lineRule="exact"/>
              <w:jc w:val="center"/>
              <w:rPr>
                <w:rFonts w:ascii="仿宋" w:hAnsi="仿宋" w:eastAsia="仿宋" w:cs="仿宋"/>
                <w:szCs w:val="21"/>
              </w:rPr>
            </w:pPr>
            <w:r>
              <w:rPr>
                <w:rFonts w:hint="eastAsia" w:ascii="仿宋" w:hAnsi="仿宋" w:eastAsia="仿宋" w:cs="仿宋"/>
                <w:szCs w:val="21"/>
              </w:rPr>
              <w:t>4.4</w:t>
            </w:r>
          </w:p>
        </w:tc>
        <w:tc>
          <w:tcPr>
            <w:tcW w:w="1578" w:type="dxa"/>
            <w:vAlign w:val="center"/>
          </w:tcPr>
          <w:p w14:paraId="116A9C59">
            <w:pPr>
              <w:pStyle w:val="15"/>
              <w:spacing w:line="420" w:lineRule="exact"/>
              <w:rPr>
                <w:rFonts w:ascii="仿宋" w:hAnsi="仿宋" w:eastAsia="仿宋" w:cs="仿宋"/>
                <w:szCs w:val="21"/>
              </w:rPr>
            </w:pPr>
            <w:r>
              <w:rPr>
                <w:rFonts w:hint="eastAsia" w:ascii="仿宋" w:hAnsi="仿宋" w:eastAsia="仿宋" w:cs="仿宋"/>
                <w:bCs/>
                <w:szCs w:val="21"/>
              </w:rPr>
              <w:t>★</w:t>
            </w:r>
            <w:r>
              <w:rPr>
                <w:rFonts w:hint="eastAsia" w:ascii="仿宋" w:hAnsi="仿宋" w:eastAsia="仿宋" w:cs="仿宋"/>
                <w:szCs w:val="21"/>
              </w:rPr>
              <w:t>信用查询</w:t>
            </w:r>
          </w:p>
        </w:tc>
        <w:tc>
          <w:tcPr>
            <w:tcW w:w="7651" w:type="dxa"/>
            <w:vAlign w:val="center"/>
          </w:tcPr>
          <w:p w14:paraId="43A635CF">
            <w:pPr>
              <w:pStyle w:val="15"/>
              <w:spacing w:line="420" w:lineRule="exact"/>
              <w:rPr>
                <w:rFonts w:ascii="仿宋" w:hAnsi="仿宋" w:eastAsia="仿宋" w:cs="仿宋"/>
                <w:szCs w:val="21"/>
              </w:rPr>
            </w:pPr>
            <w:r>
              <w:rPr>
                <w:rFonts w:hint="eastAsia" w:ascii="仿宋" w:hAnsi="仿宋" w:eastAsia="仿宋" w:cs="仿宋"/>
                <w:szCs w:val="21"/>
              </w:rPr>
              <w:t>按照《财政部关于在政府采购活动中查询及使用信用记录有关问题的通知》(财库[2016]125号)相关要求，供应商应在“信用中国”网站(www.creditchina.gov.cn)未被列入失信被执行人记录、重大税收违法案件当事人名单且在中国政府采购网(www.ccgp.gov.cn)没有政府采购严重违法失信行为记录(被禁止在一定期限内参加政府采购活动但期限届满的除外)，参与本项目的供应商信用查询截止时点：本项目采购公告发布之日起至投标截止时间，（查询结果以采购人查询结果为准）。</w:t>
            </w:r>
          </w:p>
        </w:tc>
      </w:tr>
      <w:tr w14:paraId="1BA3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A2EE2FD">
            <w:pPr>
              <w:pStyle w:val="15"/>
              <w:spacing w:line="420" w:lineRule="exact"/>
              <w:jc w:val="center"/>
              <w:rPr>
                <w:rFonts w:ascii="仿宋" w:hAnsi="仿宋" w:eastAsia="仿宋" w:cs="仿宋"/>
                <w:szCs w:val="21"/>
              </w:rPr>
            </w:pPr>
            <w:r>
              <w:rPr>
                <w:rFonts w:hint="eastAsia" w:ascii="仿宋" w:hAnsi="仿宋" w:eastAsia="仿宋" w:cs="仿宋"/>
                <w:szCs w:val="21"/>
              </w:rPr>
              <w:t>4.5</w:t>
            </w:r>
          </w:p>
        </w:tc>
        <w:tc>
          <w:tcPr>
            <w:tcW w:w="1578" w:type="dxa"/>
            <w:vAlign w:val="center"/>
          </w:tcPr>
          <w:p w14:paraId="14F8710F">
            <w:pPr>
              <w:pStyle w:val="15"/>
              <w:spacing w:line="420" w:lineRule="exact"/>
              <w:rPr>
                <w:rFonts w:ascii="仿宋" w:hAnsi="仿宋" w:eastAsia="仿宋" w:cs="仿宋"/>
                <w:szCs w:val="21"/>
              </w:rPr>
            </w:pPr>
            <w:r>
              <w:rPr>
                <w:rFonts w:hint="eastAsia" w:ascii="仿宋" w:hAnsi="仿宋" w:eastAsia="仿宋" w:cs="仿宋"/>
                <w:szCs w:val="21"/>
              </w:rPr>
              <w:t>是否接受联合体投标</w:t>
            </w:r>
          </w:p>
        </w:tc>
        <w:tc>
          <w:tcPr>
            <w:tcW w:w="7651" w:type="dxa"/>
            <w:vAlign w:val="center"/>
          </w:tcPr>
          <w:p w14:paraId="325C6AC0">
            <w:pPr>
              <w:spacing w:line="420" w:lineRule="exact"/>
              <w:rPr>
                <w:rFonts w:ascii="仿宋" w:hAnsi="仿宋" w:eastAsia="仿宋" w:cs="仿宋"/>
                <w:szCs w:val="21"/>
              </w:rPr>
            </w:pPr>
            <w:r>
              <w:rPr>
                <w:rFonts w:hint="eastAsia" w:ascii="仿宋" w:hAnsi="仿宋" w:eastAsia="仿宋" w:cs="仿宋"/>
                <w:szCs w:val="21"/>
              </w:rPr>
              <w:t>不接受</w:t>
            </w:r>
          </w:p>
        </w:tc>
      </w:tr>
      <w:tr w14:paraId="2862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C4A87D5">
            <w:pPr>
              <w:pStyle w:val="15"/>
              <w:spacing w:line="420" w:lineRule="exact"/>
              <w:jc w:val="center"/>
              <w:rPr>
                <w:rFonts w:ascii="仿宋" w:hAnsi="仿宋" w:eastAsia="仿宋" w:cs="仿宋"/>
                <w:szCs w:val="21"/>
              </w:rPr>
            </w:pPr>
            <w:r>
              <w:rPr>
                <w:rFonts w:hint="eastAsia" w:ascii="仿宋" w:hAnsi="仿宋" w:eastAsia="仿宋" w:cs="仿宋"/>
                <w:szCs w:val="21"/>
              </w:rPr>
              <w:t>9.1</w:t>
            </w:r>
          </w:p>
        </w:tc>
        <w:tc>
          <w:tcPr>
            <w:tcW w:w="1578" w:type="dxa"/>
            <w:vAlign w:val="center"/>
          </w:tcPr>
          <w:p w14:paraId="7808FC9E">
            <w:pPr>
              <w:spacing w:line="420" w:lineRule="exact"/>
              <w:rPr>
                <w:rFonts w:ascii="仿宋" w:hAnsi="仿宋" w:eastAsia="仿宋" w:cs="仿宋"/>
                <w:szCs w:val="21"/>
              </w:rPr>
            </w:pPr>
            <w:r>
              <w:rPr>
                <w:rFonts w:hint="eastAsia" w:ascii="仿宋" w:hAnsi="仿宋" w:eastAsia="仿宋" w:cs="仿宋"/>
                <w:szCs w:val="21"/>
              </w:rPr>
              <w:t>采购文件澄清截止时间</w:t>
            </w:r>
          </w:p>
        </w:tc>
        <w:tc>
          <w:tcPr>
            <w:tcW w:w="7651" w:type="dxa"/>
            <w:vAlign w:val="center"/>
          </w:tcPr>
          <w:p w14:paraId="2AFF5FBF">
            <w:pPr>
              <w:spacing w:line="420" w:lineRule="exact"/>
              <w:rPr>
                <w:rFonts w:ascii="仿宋" w:hAnsi="仿宋" w:eastAsia="仿宋" w:cs="仿宋"/>
                <w:szCs w:val="21"/>
              </w:rPr>
            </w:pPr>
          </w:p>
        </w:tc>
      </w:tr>
      <w:tr w14:paraId="2E7C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4BFBB85">
            <w:pPr>
              <w:pStyle w:val="15"/>
              <w:spacing w:line="420" w:lineRule="exact"/>
              <w:jc w:val="center"/>
              <w:rPr>
                <w:rFonts w:ascii="仿宋" w:hAnsi="仿宋" w:eastAsia="仿宋" w:cs="仿宋"/>
                <w:szCs w:val="21"/>
              </w:rPr>
            </w:pPr>
            <w:r>
              <w:rPr>
                <w:rFonts w:hint="eastAsia" w:ascii="仿宋" w:hAnsi="仿宋" w:eastAsia="仿宋" w:cs="仿宋"/>
                <w:szCs w:val="21"/>
              </w:rPr>
              <w:t>9.3</w:t>
            </w:r>
          </w:p>
        </w:tc>
        <w:tc>
          <w:tcPr>
            <w:tcW w:w="1578" w:type="dxa"/>
            <w:vAlign w:val="center"/>
          </w:tcPr>
          <w:p w14:paraId="00EBFE72">
            <w:pPr>
              <w:spacing w:line="420" w:lineRule="exact"/>
              <w:rPr>
                <w:rFonts w:ascii="仿宋" w:hAnsi="仿宋" w:eastAsia="仿宋" w:cs="仿宋"/>
                <w:szCs w:val="21"/>
              </w:rPr>
            </w:pPr>
            <w:r>
              <w:rPr>
                <w:rFonts w:hint="eastAsia" w:ascii="仿宋" w:hAnsi="仿宋" w:eastAsia="仿宋" w:cs="仿宋"/>
                <w:szCs w:val="21"/>
              </w:rPr>
              <w:t>采购文件澄清联系方式</w:t>
            </w:r>
          </w:p>
        </w:tc>
        <w:tc>
          <w:tcPr>
            <w:tcW w:w="7651" w:type="dxa"/>
            <w:vAlign w:val="center"/>
          </w:tcPr>
          <w:p w14:paraId="3843E572">
            <w:pPr>
              <w:spacing w:line="420" w:lineRule="exact"/>
              <w:rPr>
                <w:rFonts w:ascii="仿宋" w:hAnsi="仿宋" w:eastAsia="仿宋" w:cs="仿宋"/>
                <w:szCs w:val="21"/>
                <w:highlight w:val="yellow"/>
              </w:rPr>
            </w:pPr>
            <w:r>
              <w:rPr>
                <w:rFonts w:hint="eastAsia" w:ascii="仿宋" w:hAnsi="仿宋" w:eastAsia="仿宋" w:cs="仿宋"/>
                <w:szCs w:val="21"/>
              </w:rPr>
              <w:t>澄清联系人：</w:t>
            </w:r>
          </w:p>
          <w:p w14:paraId="08AB8179">
            <w:pPr>
              <w:spacing w:line="420" w:lineRule="exact"/>
              <w:rPr>
                <w:rFonts w:ascii="仿宋" w:hAnsi="仿宋" w:eastAsia="仿宋" w:cs="仿宋"/>
                <w:szCs w:val="21"/>
              </w:rPr>
            </w:pPr>
            <w:r>
              <w:rPr>
                <w:rFonts w:hint="eastAsia" w:ascii="仿宋" w:hAnsi="仿宋" w:eastAsia="仿宋" w:cs="仿宋"/>
                <w:szCs w:val="21"/>
              </w:rPr>
              <w:t>电话：</w:t>
            </w:r>
          </w:p>
        </w:tc>
      </w:tr>
      <w:tr w14:paraId="34A1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527BE44">
            <w:pPr>
              <w:pStyle w:val="15"/>
              <w:spacing w:line="420" w:lineRule="exact"/>
              <w:jc w:val="center"/>
              <w:rPr>
                <w:rFonts w:ascii="仿宋" w:hAnsi="仿宋" w:eastAsia="仿宋" w:cs="仿宋"/>
                <w:szCs w:val="21"/>
              </w:rPr>
            </w:pPr>
            <w:r>
              <w:rPr>
                <w:rFonts w:hint="eastAsia" w:ascii="仿宋" w:hAnsi="仿宋" w:eastAsia="仿宋" w:cs="仿宋"/>
                <w:szCs w:val="21"/>
              </w:rPr>
              <w:t>11.3</w:t>
            </w:r>
          </w:p>
        </w:tc>
        <w:tc>
          <w:tcPr>
            <w:tcW w:w="1578" w:type="dxa"/>
            <w:vAlign w:val="center"/>
          </w:tcPr>
          <w:p w14:paraId="7E8D71FB">
            <w:pPr>
              <w:spacing w:line="420" w:lineRule="exact"/>
              <w:rPr>
                <w:rFonts w:ascii="仿宋" w:hAnsi="仿宋" w:eastAsia="仿宋" w:cs="仿宋"/>
                <w:szCs w:val="21"/>
              </w:rPr>
            </w:pPr>
            <w:r>
              <w:rPr>
                <w:rFonts w:hint="eastAsia" w:ascii="仿宋" w:hAnsi="仿宋" w:eastAsia="仿宋" w:cs="仿宋"/>
                <w:szCs w:val="21"/>
              </w:rPr>
              <w:t>实质性要求和条件</w:t>
            </w:r>
          </w:p>
        </w:tc>
        <w:tc>
          <w:tcPr>
            <w:tcW w:w="7651" w:type="dxa"/>
            <w:vAlign w:val="center"/>
          </w:tcPr>
          <w:p w14:paraId="53467C35">
            <w:pPr>
              <w:spacing w:line="420" w:lineRule="exact"/>
              <w:rPr>
                <w:rFonts w:ascii="仿宋" w:hAnsi="仿宋" w:eastAsia="仿宋" w:cs="仿宋"/>
                <w:szCs w:val="21"/>
              </w:rPr>
            </w:pPr>
            <w:r>
              <w:rPr>
                <w:rFonts w:hint="eastAsia" w:ascii="仿宋" w:hAnsi="仿宋" w:eastAsia="仿宋" w:cs="仿宋"/>
                <w:bCs/>
                <w:szCs w:val="21"/>
              </w:rPr>
              <w:t>第四章“评标办法”初步评审标准规定的内容及本采购文件中标注★号的其他条款为实质性要求和条件，不满足任何一条将导致投标无效。请各供应商仔细阅读初步评审标准和★号条款。</w:t>
            </w:r>
          </w:p>
        </w:tc>
      </w:tr>
      <w:tr w14:paraId="5CF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D1D3329">
            <w:pPr>
              <w:pStyle w:val="15"/>
              <w:spacing w:line="420" w:lineRule="exact"/>
              <w:jc w:val="center"/>
              <w:rPr>
                <w:rFonts w:ascii="仿宋" w:hAnsi="仿宋" w:eastAsia="仿宋" w:cs="仿宋"/>
                <w:szCs w:val="21"/>
              </w:rPr>
            </w:pPr>
            <w:r>
              <w:rPr>
                <w:rFonts w:hint="eastAsia" w:ascii="仿宋" w:hAnsi="仿宋" w:eastAsia="仿宋" w:cs="仿宋"/>
                <w:szCs w:val="21"/>
              </w:rPr>
              <w:t>17.1</w:t>
            </w:r>
          </w:p>
        </w:tc>
        <w:tc>
          <w:tcPr>
            <w:tcW w:w="1578" w:type="dxa"/>
            <w:vAlign w:val="center"/>
          </w:tcPr>
          <w:p w14:paraId="5FEE6AD8">
            <w:pPr>
              <w:pStyle w:val="15"/>
              <w:spacing w:line="420" w:lineRule="exact"/>
              <w:rPr>
                <w:rFonts w:ascii="仿宋" w:hAnsi="仿宋" w:eastAsia="仿宋" w:cs="仿宋"/>
                <w:szCs w:val="21"/>
              </w:rPr>
            </w:pPr>
            <w:r>
              <w:rPr>
                <w:rFonts w:hint="eastAsia" w:ascii="仿宋" w:hAnsi="仿宋" w:eastAsia="仿宋" w:cs="仿宋"/>
                <w:szCs w:val="21"/>
              </w:rPr>
              <w:t>投标有效期</w:t>
            </w:r>
          </w:p>
        </w:tc>
        <w:tc>
          <w:tcPr>
            <w:tcW w:w="7651" w:type="dxa"/>
            <w:vAlign w:val="center"/>
          </w:tcPr>
          <w:p w14:paraId="7D293155">
            <w:pPr>
              <w:spacing w:line="420" w:lineRule="exact"/>
              <w:rPr>
                <w:rFonts w:ascii="仿宋" w:hAnsi="仿宋" w:eastAsia="仿宋" w:cs="仿宋"/>
                <w:szCs w:val="21"/>
              </w:rPr>
            </w:pPr>
            <w:r>
              <w:rPr>
                <w:rFonts w:hint="eastAsia" w:ascii="仿宋" w:hAnsi="仿宋" w:eastAsia="仿宋" w:cs="仿宋"/>
                <w:szCs w:val="21"/>
              </w:rPr>
              <w:t>投标截止日期后 90 天</w:t>
            </w:r>
          </w:p>
        </w:tc>
      </w:tr>
      <w:tr w14:paraId="0DE9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20E1616">
            <w:pPr>
              <w:spacing w:line="420" w:lineRule="exact"/>
              <w:jc w:val="center"/>
              <w:rPr>
                <w:rFonts w:ascii="仿宋" w:hAnsi="仿宋" w:eastAsia="仿宋" w:cs="仿宋"/>
                <w:szCs w:val="21"/>
              </w:rPr>
            </w:pPr>
            <w:r>
              <w:rPr>
                <w:rFonts w:hint="eastAsia" w:ascii="仿宋" w:hAnsi="仿宋" w:eastAsia="仿宋" w:cs="仿宋"/>
                <w:szCs w:val="21"/>
              </w:rPr>
              <w:t>18.1</w:t>
            </w:r>
          </w:p>
        </w:tc>
        <w:tc>
          <w:tcPr>
            <w:tcW w:w="1578" w:type="dxa"/>
            <w:vAlign w:val="center"/>
          </w:tcPr>
          <w:p w14:paraId="6FDE2CBE">
            <w:pPr>
              <w:spacing w:line="420" w:lineRule="exact"/>
              <w:rPr>
                <w:rFonts w:ascii="仿宋" w:hAnsi="仿宋" w:eastAsia="仿宋" w:cs="仿宋"/>
                <w:szCs w:val="21"/>
              </w:rPr>
            </w:pPr>
            <w:r>
              <w:rPr>
                <w:rFonts w:hint="eastAsia" w:ascii="仿宋" w:hAnsi="仿宋" w:eastAsia="仿宋" w:cs="仿宋"/>
                <w:kern w:val="0"/>
                <w:szCs w:val="21"/>
              </w:rPr>
              <w:t>响应文件签字及盖章要求</w:t>
            </w:r>
          </w:p>
        </w:tc>
        <w:tc>
          <w:tcPr>
            <w:tcW w:w="7651" w:type="dxa"/>
            <w:vAlign w:val="center"/>
          </w:tcPr>
          <w:p w14:paraId="7C1AF1BB">
            <w:pPr>
              <w:spacing w:line="420" w:lineRule="exact"/>
              <w:rPr>
                <w:rFonts w:ascii="仿宋" w:hAnsi="仿宋" w:eastAsia="仿宋" w:cs="仿宋"/>
                <w:szCs w:val="21"/>
              </w:rPr>
            </w:pPr>
            <w:r>
              <w:rPr>
                <w:rFonts w:hint="eastAsia" w:ascii="仿宋" w:hAnsi="仿宋" w:eastAsia="仿宋" w:cs="仿宋"/>
                <w:szCs w:val="21"/>
              </w:rPr>
              <w:t>按照响应文件格式要求由供应商的法定代表人或其委托代理人签字或盖单位章。委托代理人签字的，响应文件应附法定代表人签署的授权委托书。</w:t>
            </w:r>
          </w:p>
        </w:tc>
      </w:tr>
      <w:tr w14:paraId="478A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E1971CE">
            <w:pPr>
              <w:pStyle w:val="15"/>
              <w:spacing w:line="420" w:lineRule="exact"/>
              <w:jc w:val="center"/>
              <w:rPr>
                <w:rFonts w:ascii="仿宋" w:hAnsi="仿宋" w:eastAsia="仿宋" w:cs="仿宋"/>
                <w:szCs w:val="21"/>
              </w:rPr>
            </w:pPr>
            <w:r>
              <w:rPr>
                <w:rFonts w:hint="eastAsia" w:ascii="仿宋" w:hAnsi="仿宋" w:eastAsia="仿宋" w:cs="仿宋"/>
                <w:szCs w:val="21"/>
              </w:rPr>
              <w:t>18.4</w:t>
            </w:r>
          </w:p>
        </w:tc>
        <w:tc>
          <w:tcPr>
            <w:tcW w:w="1578" w:type="dxa"/>
            <w:vAlign w:val="center"/>
          </w:tcPr>
          <w:p w14:paraId="69CD51E5">
            <w:pPr>
              <w:pStyle w:val="15"/>
              <w:spacing w:line="420" w:lineRule="exact"/>
              <w:rPr>
                <w:rFonts w:ascii="仿宋" w:hAnsi="仿宋" w:eastAsia="仿宋" w:cs="仿宋"/>
                <w:szCs w:val="21"/>
              </w:rPr>
            </w:pPr>
            <w:r>
              <w:rPr>
                <w:rFonts w:hint="eastAsia" w:ascii="仿宋" w:hAnsi="仿宋" w:eastAsia="仿宋" w:cs="仿宋"/>
                <w:szCs w:val="21"/>
              </w:rPr>
              <w:t>响应文件的递交及份数</w:t>
            </w:r>
          </w:p>
        </w:tc>
        <w:tc>
          <w:tcPr>
            <w:tcW w:w="7651" w:type="dxa"/>
            <w:vAlign w:val="center"/>
          </w:tcPr>
          <w:p w14:paraId="5FF9047D">
            <w:pPr>
              <w:pStyle w:val="15"/>
              <w:spacing w:line="420" w:lineRule="exact"/>
              <w:rPr>
                <w:rFonts w:ascii="仿宋" w:hAnsi="仿宋" w:eastAsia="仿宋" w:cs="仿宋"/>
                <w:szCs w:val="21"/>
              </w:rPr>
            </w:pPr>
            <w:r>
              <w:rPr>
                <w:rFonts w:hint="eastAsia" w:ascii="仿宋" w:hAnsi="仿宋" w:eastAsia="仿宋" w:cs="仿宋"/>
                <w:szCs w:val="21"/>
                <w:u w:val="single"/>
              </w:rPr>
              <w:t xml:space="preserve">副本1 </w:t>
            </w:r>
            <w:r>
              <w:rPr>
                <w:rFonts w:hint="eastAsia" w:ascii="仿宋" w:hAnsi="仿宋" w:eastAsia="仿宋" w:cs="仿宋"/>
                <w:szCs w:val="21"/>
              </w:rPr>
              <w:t>份；正本1份；</w:t>
            </w:r>
            <w:r>
              <w:rPr>
                <w:rFonts w:hint="eastAsia" w:ascii="仿宋" w:hAnsi="仿宋" w:eastAsia="仿宋" w:cs="仿宋"/>
                <w:bCs/>
                <w:szCs w:val="21"/>
              </w:rPr>
              <w:t>并以U盘提交包含响应文件正本全部内容的word及签字盖章的扫描件1份。</w:t>
            </w:r>
          </w:p>
        </w:tc>
      </w:tr>
      <w:tr w14:paraId="20C1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38E0294E">
            <w:pPr>
              <w:pStyle w:val="15"/>
              <w:spacing w:line="420" w:lineRule="exact"/>
              <w:jc w:val="center"/>
              <w:rPr>
                <w:rFonts w:ascii="仿宋" w:hAnsi="仿宋" w:eastAsia="仿宋" w:cs="仿宋"/>
                <w:szCs w:val="21"/>
              </w:rPr>
            </w:pPr>
            <w:r>
              <w:rPr>
                <w:rFonts w:hint="eastAsia" w:ascii="仿宋" w:hAnsi="仿宋" w:eastAsia="仿宋" w:cs="仿宋"/>
                <w:szCs w:val="21"/>
              </w:rPr>
              <w:t>19.1</w:t>
            </w:r>
          </w:p>
        </w:tc>
        <w:tc>
          <w:tcPr>
            <w:tcW w:w="1578" w:type="dxa"/>
            <w:vAlign w:val="center"/>
          </w:tcPr>
          <w:p w14:paraId="21B88D1A">
            <w:pPr>
              <w:pStyle w:val="15"/>
              <w:spacing w:line="420" w:lineRule="exact"/>
              <w:rPr>
                <w:rFonts w:ascii="仿宋" w:hAnsi="仿宋" w:eastAsia="仿宋" w:cs="仿宋"/>
                <w:szCs w:val="21"/>
              </w:rPr>
            </w:pPr>
            <w:r>
              <w:rPr>
                <w:rFonts w:hint="eastAsia" w:ascii="仿宋" w:hAnsi="仿宋" w:eastAsia="仿宋" w:cs="仿宋"/>
                <w:szCs w:val="21"/>
              </w:rPr>
              <w:t>投标保证金</w:t>
            </w:r>
          </w:p>
        </w:tc>
        <w:tc>
          <w:tcPr>
            <w:tcW w:w="7651" w:type="dxa"/>
            <w:vAlign w:val="center"/>
          </w:tcPr>
          <w:p w14:paraId="745741F4">
            <w:pPr>
              <w:widowControl/>
              <w:spacing w:line="420" w:lineRule="exact"/>
              <w:jc w:val="left"/>
              <w:rPr>
                <w:rFonts w:ascii="仿宋" w:hAnsi="仿宋" w:eastAsia="仿宋" w:cs="仿宋"/>
                <w:szCs w:val="21"/>
              </w:rPr>
            </w:pPr>
            <w:r>
              <w:rPr>
                <w:rFonts w:hint="eastAsia" w:ascii="仿宋" w:hAnsi="仿宋" w:eastAsia="仿宋" w:cs="仿宋"/>
                <w:kern w:val="0"/>
                <w:szCs w:val="21"/>
              </w:rPr>
              <w:t>本项目不收保证金</w:t>
            </w:r>
          </w:p>
        </w:tc>
      </w:tr>
      <w:tr w14:paraId="6096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AE8FB57">
            <w:pPr>
              <w:spacing w:line="420" w:lineRule="exact"/>
              <w:jc w:val="center"/>
              <w:rPr>
                <w:rFonts w:ascii="仿宋" w:hAnsi="仿宋" w:eastAsia="仿宋" w:cs="仿宋"/>
                <w:szCs w:val="21"/>
              </w:rPr>
            </w:pPr>
            <w:r>
              <w:rPr>
                <w:rFonts w:hint="eastAsia" w:ascii="仿宋" w:hAnsi="仿宋" w:eastAsia="仿宋" w:cs="仿宋"/>
                <w:szCs w:val="21"/>
              </w:rPr>
              <w:t>20.3</w:t>
            </w:r>
          </w:p>
        </w:tc>
        <w:tc>
          <w:tcPr>
            <w:tcW w:w="1578" w:type="dxa"/>
            <w:vAlign w:val="center"/>
          </w:tcPr>
          <w:p w14:paraId="0309023A">
            <w:pPr>
              <w:spacing w:line="420" w:lineRule="exact"/>
              <w:rPr>
                <w:rFonts w:ascii="仿宋" w:hAnsi="仿宋" w:eastAsia="仿宋" w:cs="仿宋"/>
                <w:szCs w:val="21"/>
              </w:rPr>
            </w:pPr>
            <w:r>
              <w:rPr>
                <w:rFonts w:hint="eastAsia" w:ascii="仿宋" w:hAnsi="仿宋" w:eastAsia="仿宋" w:cs="仿宋"/>
                <w:szCs w:val="21"/>
              </w:rPr>
              <w:t>封套标记</w:t>
            </w:r>
          </w:p>
        </w:tc>
        <w:tc>
          <w:tcPr>
            <w:tcW w:w="7651" w:type="dxa"/>
            <w:vAlign w:val="center"/>
          </w:tcPr>
          <w:p w14:paraId="0421420D">
            <w:pPr>
              <w:spacing w:line="420" w:lineRule="exact"/>
              <w:rPr>
                <w:rFonts w:ascii="仿宋" w:hAnsi="仿宋" w:eastAsia="仿宋" w:cs="仿宋"/>
                <w:szCs w:val="21"/>
              </w:rPr>
            </w:pPr>
            <w:r>
              <w:rPr>
                <w:rFonts w:hint="eastAsia" w:ascii="仿宋" w:hAnsi="仿宋" w:eastAsia="仿宋" w:cs="仿宋"/>
                <w:szCs w:val="21"/>
                <w:u w:val="single"/>
              </w:rPr>
              <w:t xml:space="preserve">                            （项目名称）  响应文件</w:t>
            </w:r>
          </w:p>
          <w:p w14:paraId="2785CE78">
            <w:pPr>
              <w:spacing w:line="420" w:lineRule="exact"/>
              <w:rPr>
                <w:rFonts w:ascii="仿宋" w:hAnsi="仿宋" w:eastAsia="仿宋" w:cs="仿宋"/>
                <w:kern w:val="0"/>
                <w:szCs w:val="21"/>
              </w:rPr>
            </w:pPr>
            <w:r>
              <w:rPr>
                <w:rFonts w:hint="eastAsia" w:ascii="仿宋" w:hAnsi="仿宋" w:eastAsia="仿宋" w:cs="仿宋"/>
                <w:szCs w:val="21"/>
              </w:rPr>
              <w:t>在2025年6月12日</w:t>
            </w:r>
            <w:r>
              <w:rPr>
                <w:rFonts w:hint="eastAsia" w:ascii="仿宋" w:hAnsi="仿宋" w:eastAsia="仿宋" w:cs="仿宋"/>
                <w:szCs w:val="21"/>
                <w:u w:val="single"/>
              </w:rPr>
              <w:t>14</w:t>
            </w:r>
            <w:r>
              <w:rPr>
                <w:rFonts w:hint="eastAsia" w:ascii="仿宋" w:hAnsi="仿宋" w:eastAsia="仿宋" w:cs="仿宋"/>
                <w:szCs w:val="21"/>
              </w:rPr>
              <w:t>时</w:t>
            </w:r>
            <w:r>
              <w:rPr>
                <w:rFonts w:hint="eastAsia" w:ascii="仿宋" w:hAnsi="仿宋" w:eastAsia="仿宋" w:cs="仿宋"/>
                <w:szCs w:val="21"/>
                <w:lang w:val="en-US" w:eastAsia="zh-CN"/>
              </w:rPr>
              <w:t>0</w:t>
            </w:r>
            <w:r>
              <w:rPr>
                <w:rFonts w:hint="eastAsia" w:ascii="仿宋" w:hAnsi="仿宋" w:eastAsia="仿宋" w:cs="仿宋"/>
                <w:szCs w:val="21"/>
                <w:u w:val="single"/>
              </w:rPr>
              <w:t>0</w:t>
            </w:r>
            <w:r>
              <w:rPr>
                <w:rFonts w:hint="eastAsia" w:ascii="仿宋" w:hAnsi="仿宋" w:eastAsia="仿宋" w:cs="仿宋"/>
                <w:szCs w:val="21"/>
              </w:rPr>
              <w:t>分前不得开启</w:t>
            </w:r>
          </w:p>
        </w:tc>
      </w:tr>
      <w:tr w14:paraId="568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Merge w:val="restart"/>
            <w:vAlign w:val="center"/>
          </w:tcPr>
          <w:p w14:paraId="1E1B07E9">
            <w:pPr>
              <w:pStyle w:val="15"/>
              <w:spacing w:line="420" w:lineRule="exact"/>
              <w:jc w:val="center"/>
              <w:rPr>
                <w:rFonts w:ascii="仿宋" w:hAnsi="仿宋" w:eastAsia="仿宋" w:cs="仿宋"/>
                <w:szCs w:val="21"/>
              </w:rPr>
            </w:pPr>
            <w:r>
              <w:rPr>
                <w:rFonts w:hint="eastAsia" w:ascii="仿宋" w:hAnsi="仿宋" w:eastAsia="仿宋" w:cs="仿宋"/>
                <w:szCs w:val="21"/>
              </w:rPr>
              <w:t>21.1</w:t>
            </w:r>
          </w:p>
        </w:tc>
        <w:tc>
          <w:tcPr>
            <w:tcW w:w="1578" w:type="dxa"/>
            <w:vAlign w:val="center"/>
          </w:tcPr>
          <w:p w14:paraId="2EC741EB">
            <w:pPr>
              <w:pStyle w:val="15"/>
              <w:spacing w:line="420" w:lineRule="exact"/>
              <w:rPr>
                <w:rFonts w:ascii="仿宋" w:hAnsi="仿宋" w:eastAsia="仿宋" w:cs="仿宋"/>
                <w:szCs w:val="21"/>
              </w:rPr>
            </w:pPr>
            <w:r>
              <w:rPr>
                <w:rFonts w:hint="eastAsia" w:ascii="仿宋" w:hAnsi="仿宋" w:eastAsia="仿宋" w:cs="仿宋"/>
                <w:szCs w:val="21"/>
              </w:rPr>
              <w:t>递交响应文件的时间</w:t>
            </w:r>
          </w:p>
        </w:tc>
        <w:tc>
          <w:tcPr>
            <w:tcW w:w="7651" w:type="dxa"/>
            <w:vAlign w:val="center"/>
          </w:tcPr>
          <w:p w14:paraId="620392C3">
            <w:pPr>
              <w:spacing w:line="420" w:lineRule="exact"/>
              <w:rPr>
                <w:rFonts w:ascii="仿宋" w:hAnsi="仿宋" w:eastAsia="仿宋" w:cs="仿宋"/>
                <w:szCs w:val="21"/>
              </w:rPr>
            </w:pPr>
            <w:r>
              <w:rPr>
                <w:rFonts w:hint="eastAsia" w:ascii="仿宋" w:hAnsi="仿宋" w:eastAsia="仿宋" w:cs="仿宋"/>
                <w:szCs w:val="21"/>
              </w:rPr>
              <w:t>2025年6月12日14时00分至递交响应文件的截止时间</w:t>
            </w:r>
          </w:p>
        </w:tc>
      </w:tr>
      <w:tr w14:paraId="675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Merge w:val="continue"/>
            <w:vAlign w:val="center"/>
          </w:tcPr>
          <w:p w14:paraId="6FDFF9D7">
            <w:pPr>
              <w:pStyle w:val="15"/>
              <w:spacing w:line="420" w:lineRule="exact"/>
              <w:jc w:val="center"/>
              <w:rPr>
                <w:rFonts w:ascii="仿宋" w:hAnsi="仿宋" w:eastAsia="仿宋" w:cs="仿宋"/>
                <w:szCs w:val="21"/>
              </w:rPr>
            </w:pPr>
          </w:p>
        </w:tc>
        <w:tc>
          <w:tcPr>
            <w:tcW w:w="1578" w:type="dxa"/>
            <w:vAlign w:val="center"/>
          </w:tcPr>
          <w:p w14:paraId="370652B5">
            <w:pPr>
              <w:pStyle w:val="15"/>
              <w:spacing w:line="420" w:lineRule="exact"/>
              <w:rPr>
                <w:rFonts w:ascii="仿宋" w:hAnsi="仿宋" w:eastAsia="仿宋" w:cs="仿宋"/>
                <w:szCs w:val="21"/>
              </w:rPr>
            </w:pPr>
            <w:r>
              <w:rPr>
                <w:rFonts w:hint="eastAsia" w:ascii="仿宋" w:hAnsi="仿宋" w:eastAsia="仿宋" w:cs="仿宋"/>
                <w:szCs w:val="21"/>
              </w:rPr>
              <w:t>递交响应文件的截止时间（同投标截止时间）</w:t>
            </w:r>
          </w:p>
        </w:tc>
        <w:tc>
          <w:tcPr>
            <w:tcW w:w="7651" w:type="dxa"/>
            <w:vAlign w:val="center"/>
          </w:tcPr>
          <w:p w14:paraId="2BDFCAEC">
            <w:pPr>
              <w:spacing w:line="420" w:lineRule="exact"/>
              <w:rPr>
                <w:rFonts w:ascii="仿宋" w:hAnsi="仿宋" w:eastAsia="仿宋" w:cs="仿宋"/>
                <w:b/>
                <w:szCs w:val="21"/>
              </w:rPr>
            </w:pPr>
            <w:r>
              <w:rPr>
                <w:rFonts w:hint="eastAsia" w:ascii="仿宋" w:hAnsi="仿宋" w:eastAsia="仿宋" w:cs="仿宋"/>
                <w:szCs w:val="21"/>
                <w:lang w:val="en-US" w:eastAsia="zh-CN"/>
              </w:rPr>
              <w:t>2025</w:t>
            </w:r>
            <w:r>
              <w:rPr>
                <w:rFonts w:hint="eastAsia" w:ascii="仿宋" w:hAnsi="仿宋" w:eastAsia="仿宋" w:cs="仿宋"/>
                <w:szCs w:val="21"/>
              </w:rPr>
              <w:t>年6月12日14时00分</w:t>
            </w:r>
          </w:p>
        </w:tc>
      </w:tr>
      <w:tr w14:paraId="242A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3C2577F">
            <w:pPr>
              <w:pStyle w:val="15"/>
              <w:spacing w:line="420" w:lineRule="exact"/>
              <w:jc w:val="center"/>
              <w:rPr>
                <w:rFonts w:ascii="仿宋" w:hAnsi="仿宋" w:eastAsia="仿宋" w:cs="仿宋"/>
                <w:szCs w:val="21"/>
              </w:rPr>
            </w:pPr>
            <w:r>
              <w:rPr>
                <w:rFonts w:hint="eastAsia" w:ascii="仿宋" w:hAnsi="仿宋" w:eastAsia="仿宋" w:cs="仿宋"/>
                <w:szCs w:val="21"/>
              </w:rPr>
              <w:t>21.2</w:t>
            </w:r>
          </w:p>
        </w:tc>
        <w:tc>
          <w:tcPr>
            <w:tcW w:w="1578" w:type="dxa"/>
            <w:vAlign w:val="center"/>
          </w:tcPr>
          <w:p w14:paraId="1C30801A">
            <w:pPr>
              <w:pStyle w:val="15"/>
              <w:spacing w:line="420" w:lineRule="exact"/>
              <w:rPr>
                <w:rFonts w:ascii="仿宋" w:hAnsi="仿宋" w:eastAsia="仿宋" w:cs="仿宋"/>
                <w:szCs w:val="21"/>
              </w:rPr>
            </w:pPr>
            <w:r>
              <w:rPr>
                <w:rFonts w:hint="eastAsia" w:ascii="仿宋" w:hAnsi="仿宋" w:eastAsia="仿宋" w:cs="仿宋"/>
                <w:szCs w:val="21"/>
              </w:rPr>
              <w:t>递交响应文件地点</w:t>
            </w:r>
          </w:p>
        </w:tc>
        <w:tc>
          <w:tcPr>
            <w:tcW w:w="7651" w:type="dxa"/>
            <w:vAlign w:val="center"/>
          </w:tcPr>
          <w:p w14:paraId="76783A89">
            <w:pPr>
              <w:spacing w:line="420" w:lineRule="exact"/>
            </w:pPr>
            <w:r>
              <w:rPr>
                <w:rFonts w:hint="eastAsia"/>
              </w:rPr>
              <w:t>：</w:t>
            </w:r>
            <w:r>
              <w:rPr>
                <w:rFonts w:hint="eastAsia" w:ascii="仿宋_GB2312" w:hAnsi="仿宋_GB2312" w:eastAsia="仿宋_GB2312" w:cs="仿宋_GB2312"/>
                <w:bCs/>
                <w:szCs w:val="21"/>
                <w:u w:val="single"/>
              </w:rPr>
              <w:t>云南省昆明市盘龙区蓝黑路132号中国科学院昆明植物研究所蔡希陶旧居</w:t>
            </w:r>
          </w:p>
        </w:tc>
      </w:tr>
      <w:tr w14:paraId="28B9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264791F">
            <w:pPr>
              <w:pStyle w:val="15"/>
              <w:spacing w:line="420" w:lineRule="exact"/>
              <w:jc w:val="center"/>
              <w:rPr>
                <w:rFonts w:ascii="仿宋" w:hAnsi="仿宋" w:eastAsia="仿宋" w:cs="仿宋"/>
                <w:szCs w:val="21"/>
              </w:rPr>
            </w:pPr>
            <w:r>
              <w:rPr>
                <w:rFonts w:hint="eastAsia" w:ascii="仿宋" w:hAnsi="仿宋" w:eastAsia="仿宋" w:cs="仿宋"/>
                <w:szCs w:val="21"/>
              </w:rPr>
              <w:t>21.3</w:t>
            </w:r>
          </w:p>
        </w:tc>
        <w:tc>
          <w:tcPr>
            <w:tcW w:w="1578" w:type="dxa"/>
            <w:vAlign w:val="center"/>
          </w:tcPr>
          <w:p w14:paraId="15687C7E">
            <w:pPr>
              <w:pStyle w:val="15"/>
              <w:spacing w:line="420" w:lineRule="exact"/>
              <w:rPr>
                <w:rFonts w:ascii="仿宋" w:hAnsi="仿宋" w:eastAsia="仿宋" w:cs="仿宋"/>
                <w:szCs w:val="21"/>
              </w:rPr>
            </w:pPr>
            <w:r>
              <w:rPr>
                <w:rFonts w:hint="eastAsia" w:ascii="仿宋" w:hAnsi="仿宋" w:eastAsia="仿宋" w:cs="仿宋"/>
                <w:szCs w:val="21"/>
              </w:rPr>
              <w:t>是否退还响应文件</w:t>
            </w:r>
          </w:p>
        </w:tc>
        <w:tc>
          <w:tcPr>
            <w:tcW w:w="7651" w:type="dxa"/>
            <w:vAlign w:val="center"/>
          </w:tcPr>
          <w:p w14:paraId="4E259AD5">
            <w:pPr>
              <w:spacing w:line="420" w:lineRule="exact"/>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EQ \o(</w:instrText>
            </w:r>
            <w:r>
              <w:rPr>
                <w:rFonts w:hint="eastAsia" w:ascii="仿宋" w:hAnsi="仿宋" w:eastAsia="仿宋" w:cs="仿宋"/>
                <w:position w:val="-4"/>
                <w:sz w:val="31"/>
                <w:szCs w:val="21"/>
              </w:rPr>
              <w:instrText xml:space="preserve">□</w:instrText>
            </w:r>
            <w:r>
              <w:rPr>
                <w:rFonts w:hint="eastAsia" w:ascii="仿宋" w:hAnsi="仿宋" w:eastAsia="仿宋" w:cs="仿宋"/>
                <w:szCs w:val="21"/>
              </w:rPr>
              <w:instrText xml:space="preserve">,√)</w:instrText>
            </w:r>
            <w:r>
              <w:rPr>
                <w:rFonts w:hint="eastAsia" w:ascii="仿宋" w:hAnsi="仿宋" w:eastAsia="仿宋" w:cs="仿宋"/>
                <w:szCs w:val="21"/>
              </w:rPr>
              <w:fldChar w:fldCharType="end"/>
            </w:r>
            <w:r>
              <w:rPr>
                <w:rFonts w:hint="eastAsia" w:ascii="仿宋" w:hAnsi="仿宋" w:eastAsia="仿宋" w:cs="仿宋"/>
                <w:szCs w:val="21"/>
              </w:rPr>
              <w:t xml:space="preserve">否 </w:t>
            </w:r>
          </w:p>
        </w:tc>
      </w:tr>
      <w:tr w14:paraId="2611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39B23D7B">
            <w:pPr>
              <w:pStyle w:val="15"/>
              <w:spacing w:line="420" w:lineRule="exact"/>
              <w:jc w:val="center"/>
              <w:rPr>
                <w:rFonts w:ascii="仿宋" w:hAnsi="仿宋" w:eastAsia="仿宋" w:cs="仿宋"/>
                <w:szCs w:val="21"/>
              </w:rPr>
            </w:pPr>
            <w:r>
              <w:rPr>
                <w:rFonts w:hint="eastAsia" w:ascii="仿宋" w:hAnsi="仿宋" w:eastAsia="仿宋" w:cs="仿宋"/>
                <w:szCs w:val="21"/>
              </w:rPr>
              <w:t>22.1</w:t>
            </w:r>
          </w:p>
        </w:tc>
        <w:tc>
          <w:tcPr>
            <w:tcW w:w="1578" w:type="dxa"/>
            <w:vAlign w:val="center"/>
          </w:tcPr>
          <w:p w14:paraId="265C5DB6">
            <w:pPr>
              <w:pStyle w:val="15"/>
              <w:spacing w:line="420" w:lineRule="exact"/>
              <w:rPr>
                <w:rFonts w:ascii="仿宋" w:hAnsi="仿宋" w:eastAsia="仿宋" w:cs="仿宋"/>
                <w:szCs w:val="21"/>
              </w:rPr>
            </w:pPr>
            <w:r>
              <w:rPr>
                <w:rFonts w:hint="eastAsia" w:ascii="仿宋" w:hAnsi="仿宋" w:eastAsia="仿宋" w:cs="仿宋"/>
                <w:szCs w:val="21"/>
              </w:rPr>
              <w:t>开标时间和地点</w:t>
            </w:r>
          </w:p>
        </w:tc>
        <w:tc>
          <w:tcPr>
            <w:tcW w:w="7651" w:type="dxa"/>
            <w:vAlign w:val="center"/>
          </w:tcPr>
          <w:p w14:paraId="4E9FDA79">
            <w:pPr>
              <w:spacing w:line="420" w:lineRule="exact"/>
            </w:pPr>
            <w:r>
              <w:rPr>
                <w:rFonts w:hint="eastAsia"/>
              </w:rPr>
              <w:t>开标时间：同投标截止时间</w:t>
            </w:r>
          </w:p>
          <w:p w14:paraId="132D897E">
            <w:pPr>
              <w:spacing w:line="420" w:lineRule="exact"/>
            </w:pPr>
            <w:r>
              <w:rPr>
                <w:rFonts w:hint="eastAsia"/>
              </w:rPr>
              <w:t>开标地点：</w:t>
            </w:r>
            <w:r>
              <w:rPr>
                <w:rFonts w:hint="eastAsia" w:ascii="仿宋_GB2312" w:hAnsi="仿宋_GB2312" w:eastAsia="仿宋_GB2312" w:cs="仿宋_GB2312"/>
                <w:bCs/>
                <w:szCs w:val="21"/>
                <w:u w:val="single"/>
              </w:rPr>
              <w:t>云南省昆明市盘龙区蓝黑路132号中国科学院昆明植物研究所蔡希陶旧居</w:t>
            </w:r>
          </w:p>
          <w:p w14:paraId="5D605594">
            <w:pPr>
              <w:pStyle w:val="31"/>
              <w:rPr>
                <w:rFonts w:eastAsia="仿宋"/>
              </w:rPr>
            </w:pPr>
            <w:r>
              <w:rPr>
                <w:rFonts w:hint="eastAsia" w:ascii="仿宋" w:hAnsi="仿宋" w:eastAsia="仿宋" w:cs="仿宋"/>
                <w:szCs w:val="21"/>
              </w:rPr>
              <w:t>开标方式</w:t>
            </w:r>
            <w:r>
              <w:rPr>
                <w:rFonts w:hint="eastAsia" w:ascii="仿宋" w:hAnsi="仿宋" w:eastAsia="仿宋" w:cs="仿宋"/>
                <w:color w:val="auto"/>
                <w:kern w:val="2"/>
                <w:sz w:val="21"/>
                <w:szCs w:val="21"/>
              </w:rPr>
              <w:t>：按采购法相关规定，项目采用背对背报价，不公开唱标。</w:t>
            </w:r>
          </w:p>
        </w:tc>
      </w:tr>
      <w:tr w14:paraId="738F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73F4112F">
            <w:pPr>
              <w:pStyle w:val="15"/>
              <w:spacing w:line="420" w:lineRule="exact"/>
              <w:jc w:val="center"/>
              <w:rPr>
                <w:rFonts w:ascii="仿宋" w:hAnsi="仿宋" w:eastAsia="仿宋" w:cs="仿宋"/>
                <w:szCs w:val="21"/>
              </w:rPr>
            </w:pPr>
            <w:r>
              <w:rPr>
                <w:rFonts w:hint="eastAsia" w:ascii="仿宋" w:hAnsi="仿宋" w:eastAsia="仿宋" w:cs="仿宋"/>
                <w:szCs w:val="21"/>
              </w:rPr>
              <w:t>23.1</w:t>
            </w:r>
          </w:p>
        </w:tc>
        <w:tc>
          <w:tcPr>
            <w:tcW w:w="1578" w:type="dxa"/>
            <w:vAlign w:val="center"/>
          </w:tcPr>
          <w:p w14:paraId="5CF0A2CB">
            <w:pPr>
              <w:pStyle w:val="15"/>
              <w:spacing w:line="420" w:lineRule="exact"/>
              <w:rPr>
                <w:rFonts w:ascii="仿宋" w:hAnsi="仿宋" w:eastAsia="仿宋" w:cs="仿宋"/>
                <w:szCs w:val="21"/>
              </w:rPr>
            </w:pPr>
            <w:r>
              <w:rPr>
                <w:rFonts w:hint="eastAsia" w:ascii="仿宋" w:hAnsi="仿宋" w:eastAsia="仿宋" w:cs="仿宋"/>
                <w:szCs w:val="21"/>
              </w:rPr>
              <w:t>评标委员会组成</w:t>
            </w:r>
          </w:p>
        </w:tc>
        <w:tc>
          <w:tcPr>
            <w:tcW w:w="7651" w:type="dxa"/>
            <w:vAlign w:val="center"/>
          </w:tcPr>
          <w:p w14:paraId="7F6AD689">
            <w:pPr>
              <w:spacing w:line="420" w:lineRule="exact"/>
              <w:rPr>
                <w:rFonts w:ascii="仿宋" w:hAnsi="仿宋" w:eastAsia="仿宋" w:cs="仿宋"/>
                <w:szCs w:val="21"/>
              </w:rPr>
            </w:pPr>
            <w:r>
              <w:rPr>
                <w:rFonts w:hint="eastAsia" w:ascii="仿宋" w:hAnsi="仿宋" w:eastAsia="仿宋" w:cs="仿宋"/>
                <w:szCs w:val="21"/>
              </w:rPr>
              <w:t>评标由采购人依法组建的评标委员会负责。评标委员会由采购人代表和评审专家组成，成员人数应当为3人及以上单数，其中评审专家不得少于成员总数的三分之二</w:t>
            </w:r>
          </w:p>
        </w:tc>
      </w:tr>
      <w:tr w14:paraId="4E2E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51484314">
            <w:pPr>
              <w:pStyle w:val="15"/>
              <w:spacing w:line="420" w:lineRule="exact"/>
              <w:jc w:val="center"/>
              <w:rPr>
                <w:rFonts w:ascii="仿宋" w:hAnsi="仿宋" w:eastAsia="仿宋" w:cs="仿宋"/>
                <w:szCs w:val="21"/>
              </w:rPr>
            </w:pPr>
            <w:r>
              <w:rPr>
                <w:rFonts w:hint="eastAsia" w:ascii="仿宋" w:hAnsi="仿宋" w:eastAsia="仿宋" w:cs="仿宋"/>
                <w:szCs w:val="21"/>
              </w:rPr>
              <w:t>23.5</w:t>
            </w:r>
          </w:p>
        </w:tc>
        <w:tc>
          <w:tcPr>
            <w:tcW w:w="1578" w:type="dxa"/>
            <w:vAlign w:val="center"/>
          </w:tcPr>
          <w:p w14:paraId="3E5862AC">
            <w:pPr>
              <w:pStyle w:val="15"/>
              <w:spacing w:line="420" w:lineRule="exact"/>
              <w:rPr>
                <w:rFonts w:ascii="仿宋" w:hAnsi="仿宋" w:eastAsia="仿宋" w:cs="仿宋"/>
                <w:szCs w:val="21"/>
              </w:rPr>
            </w:pPr>
            <w:r>
              <w:rPr>
                <w:rFonts w:hint="eastAsia" w:ascii="仿宋" w:hAnsi="仿宋" w:eastAsia="仿宋" w:cs="仿宋"/>
                <w:szCs w:val="21"/>
              </w:rPr>
              <w:t>评标办法</w:t>
            </w:r>
          </w:p>
        </w:tc>
        <w:tc>
          <w:tcPr>
            <w:tcW w:w="7651" w:type="dxa"/>
            <w:vAlign w:val="center"/>
          </w:tcPr>
          <w:p w14:paraId="19B8EDFA">
            <w:pPr>
              <w:spacing w:line="420" w:lineRule="exact"/>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EQ \o(</w:instrText>
            </w:r>
            <w:r>
              <w:rPr>
                <w:rFonts w:hint="eastAsia" w:ascii="仿宋" w:hAnsi="仿宋" w:eastAsia="仿宋" w:cs="仿宋"/>
                <w:position w:val="-4"/>
                <w:sz w:val="31"/>
                <w:szCs w:val="21"/>
              </w:rPr>
              <w:instrText xml:space="preserve">□</w:instrText>
            </w:r>
            <w:r>
              <w:rPr>
                <w:rFonts w:hint="eastAsia" w:ascii="仿宋" w:hAnsi="仿宋" w:eastAsia="仿宋" w:cs="仿宋"/>
                <w:szCs w:val="21"/>
              </w:rPr>
              <w:instrText xml:space="preserve">,√)</w:instrText>
            </w:r>
            <w:r>
              <w:rPr>
                <w:rFonts w:hint="eastAsia" w:ascii="仿宋" w:hAnsi="仿宋" w:eastAsia="仿宋" w:cs="仿宋"/>
                <w:szCs w:val="21"/>
              </w:rPr>
              <w:fldChar w:fldCharType="end"/>
            </w:r>
            <w:r>
              <w:rPr>
                <w:rFonts w:hint="eastAsia" w:ascii="仿宋" w:hAnsi="仿宋" w:eastAsia="仿宋" w:cs="仿宋"/>
                <w:szCs w:val="21"/>
              </w:rPr>
              <w:t>综合评分法</w:t>
            </w:r>
          </w:p>
        </w:tc>
      </w:tr>
      <w:tr w14:paraId="11FD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6D22E39">
            <w:pPr>
              <w:pStyle w:val="15"/>
              <w:spacing w:line="420" w:lineRule="exact"/>
              <w:jc w:val="center"/>
              <w:rPr>
                <w:rFonts w:ascii="仿宋" w:hAnsi="仿宋" w:eastAsia="仿宋" w:cs="仿宋"/>
                <w:szCs w:val="21"/>
              </w:rPr>
            </w:pPr>
            <w:r>
              <w:rPr>
                <w:rFonts w:hint="eastAsia" w:ascii="仿宋" w:hAnsi="仿宋" w:eastAsia="仿宋" w:cs="仿宋"/>
                <w:szCs w:val="21"/>
              </w:rPr>
              <w:t>29.1</w:t>
            </w:r>
          </w:p>
        </w:tc>
        <w:tc>
          <w:tcPr>
            <w:tcW w:w="1578" w:type="dxa"/>
            <w:vAlign w:val="center"/>
          </w:tcPr>
          <w:p w14:paraId="4A35739B">
            <w:pPr>
              <w:pStyle w:val="15"/>
              <w:spacing w:line="420" w:lineRule="exact"/>
              <w:rPr>
                <w:rFonts w:ascii="仿宋" w:hAnsi="仿宋" w:eastAsia="仿宋" w:cs="仿宋"/>
                <w:kern w:val="0"/>
                <w:szCs w:val="21"/>
                <w:lang w:val="zh-CN"/>
              </w:rPr>
            </w:pPr>
            <w:r>
              <w:rPr>
                <w:rFonts w:hint="eastAsia" w:ascii="仿宋" w:hAnsi="仿宋" w:eastAsia="仿宋" w:cs="仿宋"/>
                <w:kern w:val="0"/>
                <w:szCs w:val="21"/>
                <w:lang w:val="zh-CN"/>
              </w:rPr>
              <w:t>履约保证金金额</w:t>
            </w:r>
          </w:p>
        </w:tc>
        <w:tc>
          <w:tcPr>
            <w:tcW w:w="7651" w:type="dxa"/>
            <w:vAlign w:val="center"/>
          </w:tcPr>
          <w:p w14:paraId="2A02AA25">
            <w:pPr>
              <w:spacing w:line="420" w:lineRule="exact"/>
              <w:rPr>
                <w:rFonts w:ascii="仿宋" w:hAnsi="仿宋" w:eastAsia="仿宋" w:cs="仿宋"/>
                <w:kern w:val="0"/>
                <w:szCs w:val="21"/>
                <w:lang w:val="zh-CN"/>
              </w:rPr>
            </w:pPr>
            <w:r>
              <w:rPr>
                <w:rFonts w:hint="eastAsia" w:ascii="仿宋" w:hAnsi="仿宋" w:eastAsia="仿宋" w:cs="仿宋"/>
                <w:kern w:val="0"/>
                <w:szCs w:val="21"/>
              </w:rPr>
              <w:t>无</w:t>
            </w:r>
          </w:p>
        </w:tc>
      </w:tr>
      <w:tr w14:paraId="2DAA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C55504C">
            <w:pPr>
              <w:pStyle w:val="15"/>
              <w:spacing w:line="420" w:lineRule="exact"/>
              <w:jc w:val="center"/>
              <w:rPr>
                <w:rFonts w:ascii="仿宋" w:hAnsi="仿宋" w:eastAsia="仿宋" w:cs="仿宋"/>
                <w:szCs w:val="21"/>
              </w:rPr>
            </w:pPr>
            <w:r>
              <w:rPr>
                <w:rFonts w:hint="eastAsia" w:ascii="仿宋" w:hAnsi="仿宋" w:eastAsia="仿宋" w:cs="仿宋"/>
                <w:szCs w:val="21"/>
              </w:rPr>
              <w:t>29.3</w:t>
            </w:r>
          </w:p>
        </w:tc>
        <w:tc>
          <w:tcPr>
            <w:tcW w:w="1578" w:type="dxa"/>
            <w:vAlign w:val="center"/>
          </w:tcPr>
          <w:p w14:paraId="234CA8D8">
            <w:pPr>
              <w:pStyle w:val="15"/>
              <w:spacing w:line="420" w:lineRule="exact"/>
              <w:rPr>
                <w:rFonts w:ascii="仿宋" w:hAnsi="仿宋" w:eastAsia="仿宋" w:cs="仿宋"/>
                <w:kern w:val="0"/>
                <w:szCs w:val="21"/>
              </w:rPr>
            </w:pPr>
            <w:r>
              <w:rPr>
                <w:rFonts w:hint="eastAsia" w:ascii="仿宋" w:hAnsi="仿宋" w:eastAsia="仿宋" w:cs="仿宋"/>
                <w:kern w:val="0"/>
                <w:szCs w:val="21"/>
              </w:rPr>
              <w:t>履约保证金退还</w:t>
            </w:r>
          </w:p>
        </w:tc>
        <w:tc>
          <w:tcPr>
            <w:tcW w:w="7651" w:type="dxa"/>
            <w:vAlign w:val="center"/>
          </w:tcPr>
          <w:p w14:paraId="1D8C059C">
            <w:pPr>
              <w:spacing w:line="420" w:lineRule="exact"/>
              <w:rPr>
                <w:rFonts w:ascii="仿宋" w:hAnsi="仿宋" w:eastAsia="仿宋" w:cs="仿宋"/>
                <w:kern w:val="0"/>
                <w:szCs w:val="21"/>
              </w:rPr>
            </w:pPr>
            <w:r>
              <w:rPr>
                <w:rFonts w:hint="eastAsia" w:ascii="仿宋" w:hAnsi="仿宋" w:eastAsia="仿宋" w:cs="仿宋"/>
                <w:kern w:val="0"/>
                <w:szCs w:val="21"/>
              </w:rPr>
              <w:t>无</w:t>
            </w:r>
          </w:p>
        </w:tc>
      </w:tr>
      <w:tr w14:paraId="51B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33EF7DA">
            <w:pPr>
              <w:pStyle w:val="15"/>
              <w:spacing w:line="420" w:lineRule="exact"/>
              <w:jc w:val="center"/>
              <w:rPr>
                <w:rFonts w:ascii="仿宋" w:hAnsi="仿宋" w:eastAsia="仿宋" w:cs="仿宋"/>
                <w:szCs w:val="21"/>
              </w:rPr>
            </w:pPr>
            <w:r>
              <w:rPr>
                <w:rFonts w:hint="eastAsia" w:ascii="仿宋" w:hAnsi="仿宋" w:eastAsia="仿宋" w:cs="仿宋"/>
                <w:szCs w:val="21"/>
              </w:rPr>
              <w:t>30.1</w:t>
            </w:r>
          </w:p>
        </w:tc>
        <w:tc>
          <w:tcPr>
            <w:tcW w:w="1578" w:type="dxa"/>
            <w:vAlign w:val="center"/>
          </w:tcPr>
          <w:p w14:paraId="622F9482">
            <w:pPr>
              <w:pStyle w:val="15"/>
              <w:spacing w:line="420" w:lineRule="exact"/>
              <w:rPr>
                <w:rFonts w:ascii="仿宋" w:hAnsi="仿宋" w:eastAsia="仿宋" w:cs="仿宋"/>
                <w:szCs w:val="21"/>
              </w:rPr>
            </w:pPr>
            <w:r>
              <w:rPr>
                <w:rFonts w:hint="eastAsia" w:ascii="仿宋" w:hAnsi="仿宋" w:eastAsia="仿宋" w:cs="仿宋"/>
                <w:szCs w:val="21"/>
              </w:rPr>
              <w:t>中标服务费及公证费</w:t>
            </w:r>
          </w:p>
        </w:tc>
        <w:tc>
          <w:tcPr>
            <w:tcW w:w="7651" w:type="dxa"/>
            <w:vAlign w:val="center"/>
          </w:tcPr>
          <w:p w14:paraId="0ACFC4A2">
            <w:pPr>
              <w:spacing w:line="420" w:lineRule="exact"/>
              <w:rPr>
                <w:rFonts w:ascii="仿宋" w:hAnsi="仿宋" w:eastAsia="仿宋" w:cs="仿宋"/>
              </w:rPr>
            </w:pPr>
            <w:r>
              <w:rPr>
                <w:rFonts w:ascii="仿宋" w:hAnsi="仿宋" w:eastAsia="仿宋" w:cs="仿宋"/>
              </w:rPr>
              <w:t>无</w:t>
            </w:r>
          </w:p>
        </w:tc>
      </w:tr>
      <w:tr w14:paraId="40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C0DD631">
            <w:pPr>
              <w:pStyle w:val="15"/>
              <w:spacing w:line="420" w:lineRule="exact"/>
              <w:jc w:val="center"/>
              <w:rPr>
                <w:rFonts w:ascii="仿宋" w:hAnsi="仿宋" w:eastAsia="仿宋" w:cs="仿宋"/>
                <w:szCs w:val="21"/>
              </w:rPr>
            </w:pPr>
            <w:r>
              <w:rPr>
                <w:rFonts w:hint="eastAsia" w:ascii="仿宋" w:hAnsi="仿宋" w:eastAsia="仿宋" w:cs="仿宋"/>
                <w:szCs w:val="21"/>
              </w:rPr>
              <w:t>32.1</w:t>
            </w:r>
          </w:p>
        </w:tc>
        <w:tc>
          <w:tcPr>
            <w:tcW w:w="9229" w:type="dxa"/>
            <w:gridSpan w:val="2"/>
            <w:vAlign w:val="center"/>
          </w:tcPr>
          <w:p w14:paraId="529BAE81">
            <w:pPr>
              <w:pStyle w:val="15"/>
              <w:spacing w:line="420" w:lineRule="exact"/>
              <w:rPr>
                <w:rFonts w:ascii="仿宋" w:hAnsi="仿宋" w:eastAsia="仿宋" w:cs="仿宋"/>
                <w:szCs w:val="21"/>
              </w:rPr>
            </w:pPr>
            <w:r>
              <w:rPr>
                <w:rFonts w:hint="eastAsia" w:ascii="仿宋" w:hAnsi="仿宋" w:eastAsia="仿宋" w:cs="仿宋"/>
                <w:szCs w:val="21"/>
              </w:rPr>
              <w:t>需要补充的其他内容</w:t>
            </w:r>
          </w:p>
        </w:tc>
      </w:tr>
      <w:tr w14:paraId="4BC2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335AE6C">
            <w:pPr>
              <w:pStyle w:val="15"/>
              <w:spacing w:line="420" w:lineRule="exact"/>
              <w:jc w:val="center"/>
              <w:rPr>
                <w:rFonts w:ascii="仿宋" w:hAnsi="仿宋" w:eastAsia="仿宋" w:cs="仿宋"/>
                <w:szCs w:val="21"/>
              </w:rPr>
            </w:pPr>
            <w:r>
              <w:rPr>
                <w:rFonts w:hint="eastAsia" w:ascii="仿宋" w:hAnsi="仿宋" w:eastAsia="仿宋" w:cs="仿宋"/>
                <w:szCs w:val="21"/>
              </w:rPr>
              <w:t>（1）</w:t>
            </w:r>
          </w:p>
        </w:tc>
        <w:tc>
          <w:tcPr>
            <w:tcW w:w="9229" w:type="dxa"/>
            <w:gridSpan w:val="2"/>
            <w:vAlign w:val="center"/>
          </w:tcPr>
          <w:p w14:paraId="44275919">
            <w:pPr>
              <w:spacing w:line="420" w:lineRule="exact"/>
              <w:rPr>
                <w:rFonts w:ascii="仿宋" w:hAnsi="仿宋" w:eastAsia="仿宋" w:cs="仿宋"/>
                <w:szCs w:val="21"/>
              </w:rPr>
            </w:pPr>
            <w:r>
              <w:rPr>
                <w:rFonts w:hint="eastAsia" w:ascii="仿宋" w:hAnsi="仿宋" w:eastAsia="仿宋" w:cs="仿宋"/>
                <w:szCs w:val="21"/>
              </w:rPr>
              <w:t>★递交响应文件时，供应商应提交核验的证照：</w:t>
            </w:r>
          </w:p>
          <w:p w14:paraId="31FDFB14">
            <w:pPr>
              <w:spacing w:line="420" w:lineRule="exact"/>
              <w:rPr>
                <w:rFonts w:ascii="仿宋" w:hAnsi="仿宋" w:eastAsia="仿宋" w:cs="仿宋"/>
                <w:szCs w:val="21"/>
              </w:rPr>
            </w:pPr>
            <w:r>
              <w:rPr>
                <w:rFonts w:hint="eastAsia" w:ascii="仿宋" w:hAnsi="仿宋" w:eastAsia="仿宋" w:cs="仿宋"/>
                <w:szCs w:val="21"/>
              </w:rPr>
              <w:t>①法定代表人身份证明书原件（附法定代表人身份证复印件）（由法定代表人参加时需同时提供身份证原件）；</w:t>
            </w:r>
          </w:p>
          <w:p w14:paraId="07CF9FE9">
            <w:pPr>
              <w:spacing w:line="420" w:lineRule="exact"/>
              <w:rPr>
                <w:rFonts w:ascii="仿宋" w:hAnsi="仿宋" w:eastAsia="仿宋" w:cs="仿宋"/>
                <w:szCs w:val="21"/>
              </w:rPr>
            </w:pPr>
            <w:r>
              <w:rPr>
                <w:rFonts w:hint="eastAsia" w:ascii="仿宋" w:hAnsi="仿宋" w:eastAsia="仿宋" w:cs="仿宋"/>
                <w:szCs w:val="21"/>
              </w:rPr>
              <w:t>②法定代表人授权委托书原件（附委托代理人的身份证复印件）和委托代理人的身份证原件（由法定代表人参加时无需提供）。</w:t>
            </w:r>
          </w:p>
          <w:p w14:paraId="73C413A7">
            <w:pPr>
              <w:spacing w:line="420" w:lineRule="exact"/>
              <w:rPr>
                <w:rFonts w:ascii="仿宋" w:hAnsi="仿宋" w:eastAsia="仿宋" w:cs="仿宋"/>
                <w:szCs w:val="21"/>
              </w:rPr>
            </w:pPr>
            <w:r>
              <w:rPr>
                <w:rFonts w:hint="eastAsia" w:ascii="仿宋" w:hAnsi="仿宋" w:eastAsia="仿宋" w:cs="仿宋"/>
                <w:szCs w:val="21"/>
              </w:rPr>
              <w:t>以上证件资料(原件)不全或不符合要求将导致投标无效，所有证件资料(原件)由采购人工作人员收取交由评标委员会审查，委托人身份证原件查验后退还供应商。</w:t>
            </w:r>
          </w:p>
        </w:tc>
      </w:tr>
      <w:tr w14:paraId="56EE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A660871">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（2）</w:t>
            </w:r>
          </w:p>
        </w:tc>
        <w:tc>
          <w:tcPr>
            <w:tcW w:w="9229" w:type="dxa"/>
            <w:gridSpan w:val="2"/>
            <w:vAlign w:val="center"/>
          </w:tcPr>
          <w:p w14:paraId="4A8A5649">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政府采购政策响应</w:t>
            </w:r>
          </w:p>
          <w:p w14:paraId="5F744780">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rPr>
              <w:t>.</w:t>
            </w:r>
            <w:r>
              <w:rPr>
                <w:rFonts w:hint="eastAsia" w:ascii="仿宋" w:hAnsi="仿宋" w:eastAsia="仿宋" w:cs="仿宋"/>
                <w:kern w:val="0"/>
                <w:szCs w:val="21"/>
                <w:lang w:val="zh-CN"/>
              </w:rPr>
              <w:t>小型和微型企业价格评分优惠政策</w:t>
            </w:r>
          </w:p>
          <w:p w14:paraId="19FC8C2C">
            <w:pPr>
              <w:pStyle w:val="15"/>
              <w:spacing w:line="340" w:lineRule="exact"/>
              <w:rPr>
                <w:rFonts w:ascii="仿宋" w:hAnsi="仿宋" w:eastAsia="仿宋" w:cs="仿宋"/>
                <w:spacing w:val="-6"/>
                <w:kern w:val="0"/>
                <w:szCs w:val="21"/>
                <w:lang w:val="zh-CN"/>
              </w:rPr>
            </w:pPr>
            <w:r>
              <w:rPr>
                <w:rFonts w:hint="eastAsia" w:ascii="仿宋" w:hAnsi="仿宋" w:eastAsia="仿宋" w:cs="仿宋"/>
                <w:spacing w:val="-6"/>
                <w:kern w:val="0"/>
                <w:szCs w:val="21"/>
                <w:lang w:val="zh-CN"/>
              </w:rPr>
              <w:t>(1)根据《政府采购促进中小企业发展管理办法》(财库[2020]46号)的规定，对符合条件的小型、微型企业，在投标报价评分时给予投标报价</w:t>
            </w:r>
            <w:r>
              <w:rPr>
                <w:rFonts w:hint="eastAsia" w:ascii="仿宋" w:hAnsi="仿宋" w:eastAsia="仿宋" w:cs="仿宋"/>
                <w:spacing w:val="-6"/>
                <w:kern w:val="0"/>
                <w:szCs w:val="21"/>
              </w:rPr>
              <w:t>10</w:t>
            </w:r>
            <w:r>
              <w:rPr>
                <w:rFonts w:hint="eastAsia" w:ascii="仿宋" w:hAnsi="仿宋" w:eastAsia="仿宋" w:cs="仿宋"/>
                <w:spacing w:val="-6"/>
                <w:kern w:val="0"/>
                <w:szCs w:val="21"/>
                <w:lang w:val="zh-CN"/>
              </w:rPr>
              <w:t>%的扣除，用扣除后的投标报价参与投标报价评分。</w:t>
            </w:r>
          </w:p>
          <w:p w14:paraId="09DE97D4">
            <w:pPr>
              <w:spacing w:line="420" w:lineRule="exact"/>
              <w:rPr>
                <w:rFonts w:ascii="仿宋" w:hAnsi="仿宋" w:eastAsia="仿宋" w:cs="仿宋"/>
                <w:spacing w:val="-6"/>
                <w:kern w:val="0"/>
                <w:szCs w:val="21"/>
                <w:lang w:val="zh-CN"/>
              </w:rPr>
            </w:pPr>
            <w:r>
              <w:rPr>
                <w:rFonts w:hint="eastAsia" w:ascii="仿宋" w:hAnsi="仿宋" w:eastAsia="仿宋" w:cs="仿宋"/>
                <w:spacing w:val="-6"/>
                <w:kern w:val="0"/>
                <w:szCs w:val="21"/>
                <w:lang w:val="zh-CN"/>
              </w:rPr>
              <w:t>(2)请供应商根据自身情况提供相关证明材料，无证明材料的在价格评分时不对投标报价进行扣除。</w:t>
            </w:r>
          </w:p>
          <w:p w14:paraId="0F4919AD">
            <w:pPr>
              <w:spacing w:line="420" w:lineRule="exact"/>
              <w:rPr>
                <w:rFonts w:ascii="仿宋" w:hAnsi="仿宋" w:eastAsia="仿宋" w:cs="仿宋"/>
                <w:spacing w:val="-6"/>
                <w:kern w:val="0"/>
                <w:szCs w:val="21"/>
                <w:lang w:val="zh-CN"/>
              </w:rPr>
            </w:pPr>
            <w:r>
              <w:rPr>
                <w:rFonts w:hint="eastAsia" w:ascii="仿宋" w:hAnsi="仿宋" w:eastAsia="仿宋" w:cs="仿宋"/>
                <w:spacing w:val="-6"/>
                <w:kern w:val="0"/>
                <w:szCs w:val="21"/>
                <w:lang w:val="zh-CN"/>
              </w:rPr>
              <w:t>2</w:t>
            </w:r>
            <w:r>
              <w:rPr>
                <w:rFonts w:hint="eastAsia" w:ascii="仿宋" w:hAnsi="仿宋" w:eastAsia="仿宋" w:cs="仿宋"/>
                <w:spacing w:val="-6"/>
                <w:kern w:val="0"/>
                <w:szCs w:val="21"/>
              </w:rPr>
              <w:t>.</w:t>
            </w:r>
            <w:r>
              <w:rPr>
                <w:rFonts w:hint="eastAsia" w:ascii="仿宋" w:hAnsi="仿宋" w:eastAsia="仿宋" w:cs="仿宋"/>
                <w:spacing w:val="-6"/>
                <w:kern w:val="0"/>
                <w:szCs w:val="21"/>
                <w:lang w:val="zh-CN"/>
              </w:rPr>
              <w:t>监狱企业优惠政策</w:t>
            </w:r>
          </w:p>
          <w:p w14:paraId="1FF68AF6">
            <w:pPr>
              <w:spacing w:line="420" w:lineRule="exact"/>
              <w:rPr>
                <w:rFonts w:ascii="仿宋" w:hAnsi="仿宋" w:eastAsia="仿宋" w:cs="仿宋"/>
                <w:spacing w:val="-6"/>
                <w:kern w:val="0"/>
                <w:szCs w:val="21"/>
                <w:lang w:val="zh-CN"/>
              </w:rPr>
            </w:pPr>
            <w:r>
              <w:rPr>
                <w:rFonts w:hint="eastAsia" w:ascii="仿宋" w:hAnsi="仿宋" w:eastAsia="仿宋" w:cs="仿宋"/>
                <w:spacing w:val="-6"/>
                <w:kern w:val="0"/>
                <w:szCs w:val="21"/>
                <w:lang w:val="zh-CN"/>
              </w:rPr>
              <w:t>根据《关于政府采购支持监狱企业发展有关问题的通知》(财库[2014]68号)的规定，监狱企业优惠政策，监狱企业参与本项目投标时，提供由省级以上监狱管理局、戒毒管理局(含新疆生产建设兵团)出具的属于监狱企业的证明文件的，视同小型、微型企业享受价格扣除等优惠政策。</w:t>
            </w:r>
          </w:p>
          <w:p w14:paraId="075FC953">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3</w:t>
            </w:r>
            <w:r>
              <w:rPr>
                <w:rFonts w:hint="eastAsia" w:ascii="仿宋" w:hAnsi="仿宋" w:eastAsia="仿宋" w:cs="仿宋"/>
                <w:kern w:val="0"/>
                <w:szCs w:val="21"/>
              </w:rPr>
              <w:t>.</w:t>
            </w:r>
            <w:r>
              <w:rPr>
                <w:rFonts w:hint="eastAsia" w:ascii="仿宋" w:hAnsi="仿宋" w:eastAsia="仿宋" w:cs="仿宋"/>
                <w:kern w:val="0"/>
                <w:szCs w:val="21"/>
                <w:lang w:val="zh-CN"/>
              </w:rPr>
              <w:t>残疾人福利性单位优惠政策</w:t>
            </w:r>
          </w:p>
          <w:p w14:paraId="16226B6A">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根据《关于促进残疾人就业政府采购政策的通知》(财库[2017]141号)的规定，残疾人福利性单位优惠政策，残疾人福利性单位参与本项目投标时，提供《残疾人福利性 单位声明函》并对声明的真实性负责，视同小型、微型企业享受价格扣除等优惠政策。</w:t>
            </w:r>
          </w:p>
          <w:p w14:paraId="5F520FD5">
            <w:pPr>
              <w:spacing w:line="420" w:lineRule="exact"/>
              <w:rPr>
                <w:rFonts w:ascii="仿宋" w:hAnsi="仿宋" w:eastAsia="仿宋" w:cs="仿宋"/>
                <w:kern w:val="0"/>
                <w:szCs w:val="21"/>
                <w:lang w:val="zh-CN"/>
              </w:rPr>
            </w:pPr>
            <w:r>
              <w:rPr>
                <w:rFonts w:hint="eastAsia" w:ascii="仿宋" w:hAnsi="仿宋" w:eastAsia="仿宋" w:cs="仿宋"/>
                <w:kern w:val="0"/>
                <w:szCs w:val="21"/>
                <w:lang w:val="zh-CN"/>
              </w:rPr>
              <w:t>4</w:t>
            </w:r>
            <w:r>
              <w:rPr>
                <w:rFonts w:hint="eastAsia" w:ascii="仿宋" w:hAnsi="仿宋" w:eastAsia="仿宋" w:cs="仿宋"/>
                <w:kern w:val="0"/>
                <w:szCs w:val="21"/>
              </w:rPr>
              <w:t>.</w:t>
            </w:r>
            <w:r>
              <w:rPr>
                <w:rFonts w:hint="eastAsia" w:ascii="仿宋" w:hAnsi="仿宋" w:eastAsia="仿宋" w:cs="仿宋"/>
                <w:kern w:val="0"/>
                <w:szCs w:val="21"/>
                <w:lang w:val="zh-CN"/>
              </w:rPr>
              <w:t>根据《中华人民共和国政府采购法》、《中华人民共和国政府采购法实施条例》、《</w:t>
            </w:r>
            <w:r>
              <w:rPr>
                <w:rFonts w:hint="eastAsia" w:ascii="仿宋" w:hAnsi="仿宋" w:eastAsia="仿宋" w:cs="仿宋"/>
                <w:color w:val="0000FF"/>
                <w:kern w:val="0"/>
                <w:szCs w:val="21"/>
                <w:lang w:val="zh-CN"/>
              </w:rPr>
              <w:t>政府采购货物和服务招标投标管理办法</w:t>
            </w:r>
            <w:r>
              <w:rPr>
                <w:rFonts w:hint="eastAsia" w:ascii="仿宋" w:hAnsi="仿宋" w:eastAsia="仿宋" w:cs="仿宋"/>
                <w:kern w:val="0"/>
                <w:szCs w:val="21"/>
                <w:lang w:val="zh-CN"/>
              </w:rPr>
              <w:t>》(财政部令第87号)的规定，采购人应当在货物服务采购投标活动中落实节约能源、保护环境、扶持不发达地区和少数民族地区、促进中小企业发展等政府采购政策。</w:t>
            </w:r>
          </w:p>
        </w:tc>
      </w:tr>
    </w:tbl>
    <w:p w14:paraId="525CC1F0">
      <w:pPr>
        <w:widowControl/>
        <w:jc w:val="left"/>
        <w:rPr>
          <w:rFonts w:ascii="仿宋" w:hAnsi="仿宋" w:eastAsia="仿宋" w:cs="仿宋"/>
          <w:b/>
          <w:bCs/>
          <w:sz w:val="24"/>
          <w:szCs w:val="24"/>
        </w:rPr>
      </w:pPr>
    </w:p>
    <w:p w14:paraId="3548A870">
      <w:pPr>
        <w:widowControl/>
        <w:spacing w:beforeLines="50" w:afterLines="50"/>
        <w:jc w:val="center"/>
        <w:outlineLvl w:val="1"/>
        <w:rPr>
          <w:rFonts w:ascii="仿宋" w:hAnsi="仿宋" w:eastAsia="仿宋" w:cs="仿宋"/>
          <w:b/>
          <w:bCs/>
          <w:sz w:val="24"/>
          <w:szCs w:val="24"/>
        </w:rPr>
      </w:pPr>
      <w:bookmarkStart w:id="41" w:name="_Toc26539"/>
      <w:r>
        <w:rPr>
          <w:rFonts w:hint="eastAsia" w:ascii="仿宋" w:hAnsi="仿宋" w:eastAsia="仿宋" w:cs="仿宋"/>
          <w:b/>
          <w:bCs/>
          <w:sz w:val="24"/>
          <w:szCs w:val="24"/>
        </w:rPr>
        <w:t>一、总  则</w:t>
      </w:r>
      <w:bookmarkEnd w:id="41"/>
    </w:p>
    <w:p w14:paraId="7C569EEA">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42" w:name="_Toc62031136"/>
      <w:bookmarkStart w:id="43" w:name="_Toc6069"/>
      <w:r>
        <w:rPr>
          <w:rFonts w:hint="eastAsia" w:ascii="仿宋" w:hAnsi="仿宋" w:eastAsia="仿宋" w:cs="仿宋"/>
          <w:sz w:val="24"/>
          <w:szCs w:val="24"/>
        </w:rPr>
        <w:t>项目概况</w:t>
      </w:r>
      <w:bookmarkEnd w:id="42"/>
      <w:bookmarkEnd w:id="43"/>
    </w:p>
    <w:p w14:paraId="4737EF5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1.1 根据有关法律、法规和规章的规定，本采购已具备采购条件，现对本次采购进行公开采购。</w:t>
      </w:r>
    </w:p>
    <w:p w14:paraId="00F07B55">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1.2 本项目采购人、采购人、项目名称及项目编号：见“</w:t>
      </w:r>
      <w:r>
        <w:rPr>
          <w:rFonts w:hint="eastAsia" w:ascii="仿宋" w:hAnsi="仿宋" w:eastAsia="仿宋" w:cs="仿宋"/>
          <w:b/>
          <w:bCs/>
          <w:sz w:val="24"/>
          <w:szCs w:val="24"/>
        </w:rPr>
        <w:t>供应商须知前附表</w:t>
      </w:r>
      <w:r>
        <w:rPr>
          <w:rFonts w:hint="eastAsia" w:ascii="仿宋" w:hAnsi="仿宋" w:eastAsia="仿宋" w:cs="仿宋"/>
          <w:sz w:val="24"/>
          <w:szCs w:val="24"/>
        </w:rPr>
        <w:t>”。</w:t>
      </w:r>
    </w:p>
    <w:p w14:paraId="1A9C8F8E">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44" w:name="_Toc11224"/>
      <w:bookmarkStart w:id="45" w:name="_Toc62031137"/>
      <w:r>
        <w:rPr>
          <w:rFonts w:hint="eastAsia" w:ascii="仿宋" w:hAnsi="仿宋" w:eastAsia="仿宋" w:cs="仿宋"/>
          <w:sz w:val="24"/>
          <w:szCs w:val="24"/>
        </w:rPr>
        <w:t>资金来源</w:t>
      </w:r>
      <w:bookmarkEnd w:id="44"/>
      <w:bookmarkEnd w:id="45"/>
    </w:p>
    <w:p w14:paraId="76C66952">
      <w:pPr>
        <w:spacing w:line="470" w:lineRule="exact"/>
        <w:ind w:firstLine="436" w:firstLineChars="200"/>
        <w:jc w:val="left"/>
        <w:rPr>
          <w:rFonts w:ascii="仿宋" w:hAnsi="仿宋" w:eastAsia="仿宋" w:cs="仿宋"/>
          <w:spacing w:val="-11"/>
          <w:sz w:val="24"/>
          <w:szCs w:val="24"/>
        </w:rPr>
      </w:pPr>
      <w:r>
        <w:rPr>
          <w:rFonts w:hint="eastAsia" w:ascii="仿宋" w:hAnsi="仿宋" w:eastAsia="仿宋" w:cs="仿宋"/>
          <w:spacing w:val="-11"/>
          <w:sz w:val="24"/>
          <w:szCs w:val="24"/>
        </w:rPr>
        <w:t>2.1 “</w:t>
      </w:r>
      <w:r>
        <w:rPr>
          <w:rFonts w:hint="eastAsia" w:ascii="仿宋" w:hAnsi="仿宋" w:eastAsia="仿宋" w:cs="仿宋"/>
          <w:b/>
          <w:bCs/>
          <w:spacing w:val="-11"/>
          <w:sz w:val="24"/>
          <w:szCs w:val="24"/>
        </w:rPr>
        <w:t>供应商须知前附表</w:t>
      </w:r>
      <w:r>
        <w:rPr>
          <w:rFonts w:hint="eastAsia" w:ascii="仿宋" w:hAnsi="仿宋" w:eastAsia="仿宋" w:cs="仿宋"/>
          <w:spacing w:val="-11"/>
          <w:sz w:val="24"/>
          <w:szCs w:val="24"/>
        </w:rPr>
        <w:t>”中所述的采购人已获得一笔资金，用于采购“</w:t>
      </w:r>
      <w:r>
        <w:rPr>
          <w:rFonts w:hint="eastAsia" w:ascii="仿宋" w:hAnsi="仿宋" w:eastAsia="仿宋" w:cs="仿宋"/>
          <w:iCs/>
          <w:spacing w:val="-11"/>
          <w:kern w:val="0"/>
          <w:sz w:val="24"/>
          <w:szCs w:val="24"/>
        </w:rPr>
        <w:t>采购需求</w:t>
      </w:r>
      <w:r>
        <w:rPr>
          <w:rFonts w:hint="eastAsia" w:ascii="仿宋" w:hAnsi="仿宋" w:eastAsia="仿宋" w:cs="仿宋"/>
          <w:spacing w:val="-11"/>
          <w:sz w:val="24"/>
          <w:szCs w:val="24"/>
        </w:rPr>
        <w:t>”所要求内容。</w:t>
      </w:r>
    </w:p>
    <w:p w14:paraId="1B8A0A13">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46" w:name="_Toc11418"/>
      <w:bookmarkStart w:id="47" w:name="_Toc62031138"/>
      <w:r>
        <w:rPr>
          <w:rFonts w:hint="eastAsia" w:ascii="仿宋" w:hAnsi="仿宋" w:eastAsia="仿宋" w:cs="仿宋"/>
          <w:sz w:val="24"/>
          <w:szCs w:val="24"/>
        </w:rPr>
        <w:t>采购内容及合同履行期限</w:t>
      </w:r>
      <w:bookmarkEnd w:id="46"/>
      <w:bookmarkEnd w:id="47"/>
    </w:p>
    <w:p w14:paraId="2451A831">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3.1 本项目采购内容：见“</w:t>
      </w:r>
      <w:r>
        <w:rPr>
          <w:rFonts w:hint="eastAsia" w:ascii="仿宋" w:hAnsi="仿宋" w:eastAsia="仿宋" w:cs="仿宋"/>
          <w:b/>
          <w:bCs/>
          <w:sz w:val="24"/>
          <w:szCs w:val="24"/>
        </w:rPr>
        <w:t>供应商须知前附表</w:t>
      </w:r>
      <w:r>
        <w:rPr>
          <w:rFonts w:hint="eastAsia" w:ascii="仿宋" w:hAnsi="仿宋" w:eastAsia="仿宋" w:cs="仿宋"/>
          <w:sz w:val="24"/>
          <w:szCs w:val="24"/>
        </w:rPr>
        <w:t>”。</w:t>
      </w:r>
    </w:p>
    <w:p w14:paraId="7329DA3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3.2 本项目服务期限：见“</w:t>
      </w:r>
      <w:r>
        <w:rPr>
          <w:rFonts w:hint="eastAsia" w:ascii="仿宋" w:hAnsi="仿宋" w:eastAsia="仿宋" w:cs="仿宋"/>
          <w:b/>
          <w:bCs/>
          <w:sz w:val="24"/>
          <w:szCs w:val="24"/>
        </w:rPr>
        <w:t>供应商须知前附表</w:t>
      </w:r>
      <w:r>
        <w:rPr>
          <w:rFonts w:hint="eastAsia" w:ascii="仿宋" w:hAnsi="仿宋" w:eastAsia="仿宋" w:cs="仿宋"/>
          <w:sz w:val="24"/>
          <w:szCs w:val="24"/>
        </w:rPr>
        <w:t>”。</w:t>
      </w:r>
    </w:p>
    <w:p w14:paraId="5498D923">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48" w:name="_Toc62031139"/>
      <w:bookmarkStart w:id="49" w:name="_Toc13571"/>
      <w:r>
        <w:rPr>
          <w:rFonts w:hint="eastAsia" w:ascii="仿宋" w:hAnsi="仿宋" w:eastAsia="仿宋" w:cs="仿宋"/>
          <w:sz w:val="24"/>
          <w:szCs w:val="24"/>
        </w:rPr>
        <w:t>合格的</w:t>
      </w:r>
      <w:bookmarkEnd w:id="48"/>
      <w:r>
        <w:rPr>
          <w:rFonts w:hint="eastAsia" w:ascii="仿宋" w:hAnsi="仿宋" w:eastAsia="仿宋" w:cs="仿宋"/>
          <w:sz w:val="24"/>
          <w:szCs w:val="24"/>
        </w:rPr>
        <w:t>供应商</w:t>
      </w:r>
      <w:bookmarkEnd w:id="49"/>
    </w:p>
    <w:p w14:paraId="5136475C">
      <w:pPr>
        <w:spacing w:line="470" w:lineRule="exact"/>
        <w:ind w:firstLine="436" w:firstLineChars="200"/>
        <w:jc w:val="left"/>
        <w:rPr>
          <w:rFonts w:ascii="仿宋" w:hAnsi="仿宋" w:eastAsia="仿宋" w:cs="仿宋"/>
          <w:spacing w:val="-11"/>
          <w:sz w:val="24"/>
          <w:szCs w:val="24"/>
        </w:rPr>
      </w:pPr>
      <w:r>
        <w:rPr>
          <w:rFonts w:hint="eastAsia" w:ascii="仿宋" w:hAnsi="仿宋" w:eastAsia="仿宋" w:cs="仿宋"/>
          <w:spacing w:val="-11"/>
          <w:sz w:val="24"/>
          <w:szCs w:val="24"/>
        </w:rPr>
        <w:t>4.1 供应商应具备《中华人民共和国政府采购法》第二十二条规定的条件见</w:t>
      </w:r>
      <w:r>
        <w:rPr>
          <w:rFonts w:hint="eastAsia" w:ascii="仿宋" w:hAnsi="仿宋" w:eastAsia="仿宋" w:cs="仿宋"/>
          <w:b/>
          <w:spacing w:val="-11"/>
          <w:sz w:val="24"/>
          <w:szCs w:val="24"/>
        </w:rPr>
        <w:t>“供应商须知前附表”</w:t>
      </w:r>
      <w:r>
        <w:rPr>
          <w:rFonts w:hint="eastAsia" w:ascii="仿宋" w:hAnsi="仿宋" w:eastAsia="仿宋" w:cs="仿宋"/>
          <w:spacing w:val="-11"/>
          <w:sz w:val="24"/>
          <w:szCs w:val="24"/>
        </w:rPr>
        <w:t>。</w:t>
      </w:r>
    </w:p>
    <w:p w14:paraId="33FFF109">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4.2 供应商应符合采购人根据采购项目的特殊要求规定的特定条件见</w:t>
      </w:r>
      <w:r>
        <w:rPr>
          <w:rFonts w:hint="eastAsia" w:ascii="仿宋" w:hAnsi="仿宋" w:eastAsia="仿宋" w:cs="仿宋"/>
          <w:b/>
          <w:spacing w:val="-6"/>
          <w:sz w:val="24"/>
          <w:szCs w:val="24"/>
        </w:rPr>
        <w:t>“供应商须知前附表”</w:t>
      </w:r>
      <w:r>
        <w:rPr>
          <w:rFonts w:hint="eastAsia" w:ascii="仿宋" w:hAnsi="仿宋" w:eastAsia="仿宋" w:cs="仿宋"/>
          <w:spacing w:val="-6"/>
          <w:sz w:val="24"/>
          <w:szCs w:val="24"/>
        </w:rPr>
        <w:t>。</w:t>
      </w:r>
    </w:p>
    <w:p w14:paraId="47D5002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94BB73A">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4.4 信用查询见</w:t>
      </w:r>
      <w:r>
        <w:rPr>
          <w:rFonts w:hint="eastAsia" w:ascii="仿宋" w:hAnsi="仿宋" w:eastAsia="仿宋" w:cs="仿宋"/>
          <w:b/>
          <w:sz w:val="24"/>
          <w:szCs w:val="24"/>
        </w:rPr>
        <w:t>“供应商须知前附表”</w:t>
      </w:r>
      <w:r>
        <w:rPr>
          <w:rFonts w:hint="eastAsia" w:ascii="仿宋" w:hAnsi="仿宋" w:eastAsia="仿宋" w:cs="仿宋"/>
          <w:sz w:val="24"/>
          <w:szCs w:val="24"/>
        </w:rPr>
        <w:t>。</w:t>
      </w:r>
    </w:p>
    <w:p w14:paraId="20BFA38B">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4.5 本项目不接受联合体投标。</w:t>
      </w:r>
    </w:p>
    <w:p w14:paraId="707661B9">
      <w:pPr>
        <w:tabs>
          <w:tab w:val="left" w:pos="1260"/>
        </w:tabs>
        <w:spacing w:line="470" w:lineRule="exact"/>
        <w:ind w:left="420" w:leftChars="200"/>
        <w:rPr>
          <w:rFonts w:ascii="仿宋" w:hAnsi="仿宋" w:eastAsia="仿宋" w:cs="仿宋"/>
          <w:sz w:val="24"/>
          <w:szCs w:val="24"/>
        </w:rPr>
      </w:pPr>
      <w:r>
        <w:rPr>
          <w:rFonts w:hint="eastAsia" w:ascii="仿宋" w:hAnsi="仿宋" w:eastAsia="仿宋" w:cs="仿宋"/>
          <w:sz w:val="24"/>
          <w:szCs w:val="24"/>
        </w:rPr>
        <w:t>4.6供应商存在下列情况之一的，投标无效：</w:t>
      </w:r>
      <w:r>
        <w:rPr>
          <w:rFonts w:ascii="仿宋" w:hAnsi="仿宋" w:eastAsia="仿宋" w:cs="仿宋"/>
          <w:sz w:val="24"/>
          <w:szCs w:val="24"/>
        </w:rPr>
        <w:t xml:space="preserve"> </w:t>
      </w:r>
    </w:p>
    <w:p w14:paraId="4001E756">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(1)响应文件未按采购文件要求签署、盖章的；</w:t>
      </w:r>
    </w:p>
    <w:p w14:paraId="6A8EDE84">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(2)不具备采购文件中规定的资格要求的；</w:t>
      </w:r>
    </w:p>
    <w:p w14:paraId="4DB0D419">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(3)报价超过采购文件中规定的预算金额或者最高限价的；</w:t>
      </w:r>
    </w:p>
    <w:p w14:paraId="0BB24987">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(4)响应文件含有采购人不能接受的附加条件的；</w:t>
      </w:r>
    </w:p>
    <w:p w14:paraId="530D9146">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(5)法律、法规和采购文件规定的其他无效情形。</w:t>
      </w:r>
    </w:p>
    <w:p w14:paraId="0D637004">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4.7 有下列情形之一的，视为供应商串通投标，其投标无效：</w:t>
      </w:r>
    </w:p>
    <w:p w14:paraId="7FB17AE9">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25AEF26D">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(2)不同供应商委托同一单位或者个人办理投标事宜；</w:t>
      </w:r>
    </w:p>
    <w:p w14:paraId="3A5A2FDD">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7673CABA">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(4)不同供应商的响应文件异常一致或者投标报价呈规律性差异；</w:t>
      </w:r>
    </w:p>
    <w:p w14:paraId="3E12366D">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(5)不同供应商的响应文件相互混装；</w:t>
      </w:r>
    </w:p>
    <w:p w14:paraId="53BA9BA7">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(6)不同供应商的投标保证金从同一单位或者个人的账户转出。</w:t>
      </w:r>
    </w:p>
    <w:p w14:paraId="1FB4B3E5">
      <w:pPr>
        <w:pStyle w:val="31"/>
        <w:spacing w:line="470" w:lineRule="exact"/>
        <w:ind w:firstLine="480" w:firstLineChars="200"/>
        <w:rPr>
          <w:rFonts w:ascii="仿宋" w:hAnsi="仿宋" w:eastAsia="仿宋" w:cs="仿宋"/>
          <w:color w:val="auto"/>
          <w:kern w:val="2"/>
        </w:rPr>
      </w:pPr>
      <w:r>
        <w:rPr>
          <w:rFonts w:hint="eastAsia" w:ascii="仿宋" w:hAnsi="仿宋" w:eastAsia="仿宋" w:cs="仿宋"/>
          <w:color w:val="auto"/>
          <w:kern w:val="2"/>
        </w:rPr>
        <w:t>4.8 符合上述条件的供应商应承担投标及履约中应承担的全部责任与义务。</w:t>
      </w:r>
    </w:p>
    <w:p w14:paraId="1E37674B">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50" w:name="_Toc29994"/>
      <w:r>
        <w:rPr>
          <w:rFonts w:hint="eastAsia" w:ascii="仿宋" w:hAnsi="仿宋" w:eastAsia="仿宋" w:cs="仿宋"/>
          <w:sz w:val="24"/>
          <w:szCs w:val="24"/>
        </w:rPr>
        <w:t>投标费用</w:t>
      </w:r>
      <w:bookmarkEnd w:id="50"/>
    </w:p>
    <w:p w14:paraId="41B33CC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5.1 不论投标结果如何，供应商均应自行承担所有与准备和参加投标活动有关的全部费用。</w:t>
      </w:r>
    </w:p>
    <w:p w14:paraId="2214EEB1">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51" w:name="_Toc62031140"/>
      <w:bookmarkStart w:id="52" w:name="_Toc31809"/>
      <w:r>
        <w:rPr>
          <w:rFonts w:hint="eastAsia" w:ascii="仿宋" w:hAnsi="仿宋" w:eastAsia="仿宋" w:cs="仿宋"/>
          <w:sz w:val="24"/>
          <w:szCs w:val="24"/>
        </w:rPr>
        <w:t>质疑</w:t>
      </w:r>
      <w:bookmarkEnd w:id="51"/>
      <w:bookmarkEnd w:id="52"/>
    </w:p>
    <w:p w14:paraId="5A4C93D5">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6.1 供应商认为采购文件、采购过程和中标结果使自己的合法权益受到损害的，应当在知道或者应知其权益受到损害之日起七个工作日内向采购人提出。如有疑问，应在供应商须知前附表规定的时间前以书面形式提交，要求采购人对采购文件予以澄清。</w:t>
      </w:r>
    </w:p>
    <w:p w14:paraId="78E0A5BD">
      <w:pPr>
        <w:spacing w:line="470" w:lineRule="exact"/>
        <w:ind w:firstLine="436" w:firstLineChars="200"/>
        <w:rPr>
          <w:rFonts w:ascii="仿宋" w:hAnsi="仿宋" w:eastAsia="仿宋" w:cs="仿宋"/>
          <w:spacing w:val="-11"/>
          <w:sz w:val="24"/>
          <w:szCs w:val="24"/>
        </w:rPr>
      </w:pPr>
      <w:r>
        <w:rPr>
          <w:rFonts w:hint="eastAsia" w:ascii="仿宋" w:hAnsi="仿宋" w:eastAsia="仿宋" w:cs="仿宋"/>
          <w:spacing w:val="-11"/>
          <w:sz w:val="24"/>
          <w:szCs w:val="24"/>
        </w:rPr>
        <w:t>6.2供应商提供的质疑书应符合中华人民共和国财政部第94号令《政府采购供应商投诉处理办法》的规定。供应商提供的质疑书（如材料中有外文资料应同时附上中文译本）应当包括以下主要内容：</w:t>
      </w:r>
    </w:p>
    <w:p w14:paraId="7060A847">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（1）供应商的姓名或者名称、地址、邮编、联系人及联系电话；</w:t>
      </w:r>
    </w:p>
    <w:p w14:paraId="398FF085">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（2）质疑项目的名称、编号；</w:t>
      </w:r>
    </w:p>
    <w:p w14:paraId="3FB364F1">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1A035BC5">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（4）事实依据；</w:t>
      </w:r>
    </w:p>
    <w:p w14:paraId="203493F0">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（5）必要的法律依据；</w:t>
      </w:r>
    </w:p>
    <w:p w14:paraId="1E14F110">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（6）提出质疑的日期。</w:t>
      </w:r>
    </w:p>
    <w:p w14:paraId="0FC6A2BD">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质疑书实行实名制，供应商为自然人的，应当由本人签字；供应商为法人或者其他组织的，由法定代表人、主要负责人或其授权代理人签字或盖章并加盖公章。</w:t>
      </w:r>
    </w:p>
    <w:p w14:paraId="3D168B6B">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6.3 采购人、采购人将在收到供应商的书面质疑后七个工作日内做出答复，但答复的内容不涉及商业秘密。</w:t>
      </w:r>
    </w:p>
    <w:p w14:paraId="6DC69978">
      <w:pPr>
        <w:pStyle w:val="31"/>
        <w:spacing w:line="470" w:lineRule="exact"/>
        <w:rPr>
          <w:rFonts w:ascii="仿宋" w:hAnsi="仿宋" w:eastAsia="仿宋" w:cs="仿宋"/>
          <w:color w:val="auto"/>
        </w:rPr>
      </w:pPr>
    </w:p>
    <w:p w14:paraId="1E9A8A9A">
      <w:pPr>
        <w:widowControl/>
        <w:spacing w:beforeLines="50" w:afterLines="50" w:line="470" w:lineRule="exact"/>
        <w:jc w:val="center"/>
        <w:outlineLvl w:val="1"/>
        <w:rPr>
          <w:rFonts w:ascii="仿宋" w:hAnsi="仿宋" w:eastAsia="仿宋" w:cs="仿宋"/>
          <w:b/>
          <w:bCs/>
          <w:sz w:val="24"/>
          <w:szCs w:val="24"/>
        </w:rPr>
      </w:pPr>
      <w:bookmarkStart w:id="53" w:name="_Toc28807"/>
      <w:r>
        <w:rPr>
          <w:rFonts w:hint="eastAsia" w:ascii="仿宋" w:hAnsi="仿宋" w:eastAsia="仿宋" w:cs="仿宋"/>
          <w:b/>
          <w:bCs/>
          <w:sz w:val="24"/>
          <w:szCs w:val="24"/>
        </w:rPr>
        <w:t>二、采购文件</w:t>
      </w:r>
      <w:bookmarkEnd w:id="53"/>
    </w:p>
    <w:p w14:paraId="631488BE">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54" w:name="_Toc6212"/>
      <w:bookmarkStart w:id="55" w:name="_Toc62031142"/>
      <w:r>
        <w:rPr>
          <w:rFonts w:hint="eastAsia" w:ascii="仿宋" w:hAnsi="仿宋" w:eastAsia="仿宋" w:cs="仿宋"/>
          <w:sz w:val="24"/>
          <w:szCs w:val="24"/>
        </w:rPr>
        <w:t>采购文件构成</w:t>
      </w:r>
      <w:bookmarkEnd w:id="54"/>
      <w:bookmarkEnd w:id="55"/>
    </w:p>
    <w:p w14:paraId="2CD1944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8.1 要求提供的项目、采购过程及合同条款在采购文件中均有说明，采购文件共七章，各章的内容如下：</w:t>
      </w:r>
    </w:p>
    <w:p w14:paraId="2231BAA9">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第一章  采购公告</w:t>
      </w:r>
    </w:p>
    <w:p w14:paraId="2AEAA9F1">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第二章  供应商须知</w:t>
      </w:r>
    </w:p>
    <w:p w14:paraId="300066BB">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第三章  资格审查</w:t>
      </w:r>
    </w:p>
    <w:p w14:paraId="2CA6F9AF">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第四章  评标办法</w:t>
      </w:r>
    </w:p>
    <w:p w14:paraId="2AB38D40">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第五章  合同书样式及主要条款</w:t>
      </w:r>
    </w:p>
    <w:p w14:paraId="610F516F">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第六章  采购需求</w:t>
      </w:r>
    </w:p>
    <w:p w14:paraId="4C60E7F9">
      <w:pPr>
        <w:spacing w:line="470" w:lineRule="exact"/>
        <w:ind w:firstLine="410" w:firstLineChars="171"/>
        <w:jc w:val="left"/>
        <w:rPr>
          <w:rFonts w:ascii="仿宋" w:hAnsi="仿宋" w:eastAsia="仿宋" w:cs="仿宋"/>
          <w:sz w:val="24"/>
          <w:szCs w:val="24"/>
        </w:rPr>
      </w:pPr>
      <w:r>
        <w:rPr>
          <w:rFonts w:hint="eastAsia" w:ascii="仿宋" w:hAnsi="仿宋" w:eastAsia="仿宋" w:cs="仿宋"/>
          <w:sz w:val="24"/>
          <w:szCs w:val="24"/>
        </w:rPr>
        <w:t>第七章  响应文件格式</w:t>
      </w:r>
    </w:p>
    <w:p w14:paraId="661A91E5">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56" w:name="_Toc62031143"/>
      <w:bookmarkStart w:id="57" w:name="_Toc12096"/>
      <w:r>
        <w:rPr>
          <w:rFonts w:hint="eastAsia" w:ascii="仿宋" w:hAnsi="仿宋" w:eastAsia="仿宋" w:cs="仿宋"/>
          <w:sz w:val="24"/>
          <w:szCs w:val="24"/>
        </w:rPr>
        <w:t>采购文件的澄清</w:t>
      </w:r>
      <w:bookmarkEnd w:id="56"/>
      <w:bookmarkEnd w:id="57"/>
    </w:p>
    <w:p w14:paraId="6F4C205B">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9.1 供应商应认真审核第六章“采购需求”中的服务内容及要求，如发现服务内容有误或要求不合理的，供应商必须在“</w:t>
      </w:r>
      <w:r>
        <w:rPr>
          <w:rFonts w:hint="eastAsia" w:ascii="仿宋" w:hAnsi="仿宋" w:eastAsia="仿宋" w:cs="仿宋"/>
          <w:b/>
          <w:bCs/>
          <w:sz w:val="24"/>
          <w:szCs w:val="24"/>
        </w:rPr>
        <w:t>供应商须知前附表</w:t>
      </w:r>
      <w:r>
        <w:rPr>
          <w:rFonts w:hint="eastAsia" w:ascii="仿宋" w:hAnsi="仿宋" w:eastAsia="仿宋" w:cs="仿宋"/>
          <w:sz w:val="24"/>
          <w:szCs w:val="24"/>
        </w:rPr>
        <w:t>”规定截止时间前以书面形式（加盖公章）要求澄清，截止时间后送达的澄清要求概不接受，由此产生的后果由供应商负责。</w:t>
      </w:r>
    </w:p>
    <w:p w14:paraId="28DBBFC4">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9.2 采购人将以书面或网上发布公告形式答复所有获取采购文件的供应商（答复中不包含问题的来源）要求澄清的问题，其他澄清方式无效。</w:t>
      </w:r>
    </w:p>
    <w:p w14:paraId="3685FA67">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9.3 采购文件澄清联系方式见“</w:t>
      </w:r>
      <w:r>
        <w:rPr>
          <w:rFonts w:hint="eastAsia" w:ascii="仿宋" w:hAnsi="仿宋" w:eastAsia="仿宋" w:cs="仿宋"/>
          <w:b/>
          <w:sz w:val="24"/>
          <w:szCs w:val="24"/>
        </w:rPr>
        <w:t>供应商须知前附表”。</w:t>
      </w:r>
    </w:p>
    <w:p w14:paraId="0573CF28">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58" w:name="_Toc4003"/>
      <w:bookmarkStart w:id="59" w:name="_Toc62031144"/>
      <w:r>
        <w:rPr>
          <w:rFonts w:hint="eastAsia" w:ascii="仿宋" w:hAnsi="仿宋" w:eastAsia="仿宋" w:cs="仿宋"/>
          <w:sz w:val="24"/>
          <w:szCs w:val="24"/>
        </w:rPr>
        <w:t>采购文件的修改</w:t>
      </w:r>
      <w:bookmarkEnd w:id="58"/>
      <w:bookmarkEnd w:id="59"/>
    </w:p>
    <w:p w14:paraId="15D401F7">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10.1 采购人对已发出的采购文件进行必要澄清或者修改的，于采购文件要求提交响应文件截止时间十五日前，在采购信息发布媒体上发布更正公告，并以书面形式通知所有采购文件收受人。该澄清或者修改的内容为采购文件的组成部分。</w:t>
      </w:r>
    </w:p>
    <w:p w14:paraId="3D9B0B2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10.2 采购人和采购人可以视采购具体情况，延长投标截止时间和开标时间，但至少在采购文件要求提交响应文件的截止时间三日前，将变更时间书面通知所有采购文件收受人，并在采购信息发布媒体上发布变更公告。</w:t>
      </w:r>
    </w:p>
    <w:p w14:paraId="6D418206">
      <w:pPr>
        <w:widowControl/>
        <w:spacing w:beforeLines="50" w:afterLines="50" w:line="470" w:lineRule="exact"/>
        <w:jc w:val="center"/>
        <w:outlineLvl w:val="1"/>
        <w:rPr>
          <w:rFonts w:ascii="仿宋" w:hAnsi="仿宋" w:eastAsia="仿宋" w:cs="仿宋"/>
          <w:b/>
          <w:bCs/>
          <w:sz w:val="24"/>
          <w:szCs w:val="24"/>
        </w:rPr>
      </w:pPr>
      <w:bookmarkStart w:id="60" w:name="_Toc20136"/>
      <w:r>
        <w:rPr>
          <w:rFonts w:hint="eastAsia" w:ascii="仿宋" w:hAnsi="仿宋" w:eastAsia="仿宋" w:cs="仿宋"/>
          <w:b/>
          <w:bCs/>
          <w:sz w:val="24"/>
          <w:szCs w:val="24"/>
        </w:rPr>
        <w:t>三、响应文件的编制</w:t>
      </w:r>
      <w:bookmarkEnd w:id="60"/>
    </w:p>
    <w:p w14:paraId="186304D8">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61" w:name="_Toc16512"/>
      <w:bookmarkStart w:id="62" w:name="_Toc62031145"/>
      <w:r>
        <w:rPr>
          <w:rFonts w:hint="eastAsia" w:ascii="仿宋" w:hAnsi="仿宋" w:eastAsia="仿宋" w:cs="仿宋"/>
          <w:sz w:val="24"/>
          <w:szCs w:val="24"/>
        </w:rPr>
        <w:t>响应文件编写注意事项</w:t>
      </w:r>
      <w:bookmarkEnd w:id="61"/>
      <w:bookmarkEnd w:id="62"/>
    </w:p>
    <w:p w14:paraId="58B8BE2A">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11.1 供应商应仔细阅读采购文件，在完全了解采购的内容、技术性能要求（见第六章“采购需求”）和商务条件后，编写响应文件。如果没有按照采购文件要求提交全部响应文件或者</w:t>
      </w:r>
      <w:r>
        <w:rPr>
          <w:rFonts w:hint="eastAsia" w:ascii="仿宋" w:hAnsi="仿宋" w:eastAsia="仿宋" w:cs="仿宋"/>
          <w:spacing w:val="-6"/>
          <w:sz w:val="24"/>
          <w:szCs w:val="24"/>
        </w:rPr>
        <w:t>资料，没有对采购文件的实质性要求和条件作出响应是供应商的风险，并可能导致该投标被拒绝。</w:t>
      </w:r>
    </w:p>
    <w:p w14:paraId="097F511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11.2对采购文件提出的实质性要求和条件作出响应是指供应商必须对采购文件中标明</w:t>
      </w:r>
      <w:r>
        <w:rPr>
          <w:rFonts w:hint="eastAsia" w:ascii="仿宋" w:hAnsi="仿宋" w:eastAsia="仿宋" w:cs="仿宋"/>
          <w:b/>
          <w:bCs/>
          <w:sz w:val="24"/>
          <w:szCs w:val="24"/>
        </w:rPr>
        <w:t>的实质性要求和条件、合同主要条款及其它要求等内容作出满足或者优于原要求和条件的承</w:t>
      </w:r>
      <w:r>
        <w:rPr>
          <w:rFonts w:hint="eastAsia" w:ascii="仿宋" w:hAnsi="仿宋" w:eastAsia="仿宋" w:cs="仿宋"/>
          <w:sz w:val="24"/>
          <w:szCs w:val="24"/>
        </w:rPr>
        <w:t>诺。</w:t>
      </w:r>
    </w:p>
    <w:p w14:paraId="67D5C4C4">
      <w:pPr>
        <w:spacing w:line="470" w:lineRule="exact"/>
        <w:ind w:firstLine="470" w:firstLineChars="196"/>
        <w:jc w:val="left"/>
        <w:rPr>
          <w:rFonts w:ascii="仿宋" w:hAnsi="仿宋" w:eastAsia="仿宋" w:cs="仿宋"/>
          <w:b/>
          <w:bCs/>
          <w:sz w:val="24"/>
          <w:szCs w:val="24"/>
        </w:rPr>
      </w:pPr>
      <w:r>
        <w:rPr>
          <w:rFonts w:hint="eastAsia" w:ascii="仿宋" w:hAnsi="仿宋" w:eastAsia="仿宋" w:cs="仿宋"/>
          <w:bCs/>
          <w:sz w:val="24"/>
          <w:szCs w:val="24"/>
        </w:rPr>
        <w:t xml:space="preserve">11.3 </w:t>
      </w:r>
      <w:r>
        <w:rPr>
          <w:rFonts w:hint="eastAsia" w:ascii="仿宋" w:hAnsi="仿宋" w:eastAsia="仿宋" w:cs="仿宋"/>
          <w:b/>
          <w:bCs/>
          <w:sz w:val="24"/>
          <w:szCs w:val="24"/>
        </w:rPr>
        <w:t xml:space="preserve">采购文件中的实质性要求和条件详见“供应商须知前附表”。 </w:t>
      </w:r>
    </w:p>
    <w:p w14:paraId="557C1460">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63" w:name="_Toc62031146"/>
      <w:bookmarkStart w:id="64" w:name="_Toc12269"/>
      <w:r>
        <w:rPr>
          <w:rFonts w:hint="eastAsia" w:ascii="仿宋" w:hAnsi="仿宋" w:eastAsia="仿宋" w:cs="仿宋"/>
          <w:sz w:val="24"/>
          <w:szCs w:val="24"/>
        </w:rPr>
        <w:t>投标的语言及计量单位</w:t>
      </w:r>
      <w:bookmarkEnd w:id="63"/>
      <w:bookmarkEnd w:id="64"/>
    </w:p>
    <w:p w14:paraId="3BF5E08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12.1 供应商的响应文件以及供应商与采购人就有关投标的所有来往函电统一使用中文（特别规定除外）。</w:t>
      </w:r>
    </w:p>
    <w:p w14:paraId="504D6ABB">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12.2 响应文件中使用的计量单位除采购文件中有特殊规定外，一律使用中国法定计量单位。</w:t>
      </w:r>
    </w:p>
    <w:p w14:paraId="64B978FB">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65" w:name="_Toc23989"/>
      <w:r>
        <w:rPr>
          <w:rFonts w:hint="eastAsia" w:ascii="仿宋" w:hAnsi="仿宋" w:eastAsia="仿宋" w:cs="仿宋"/>
          <w:sz w:val="24"/>
          <w:szCs w:val="24"/>
        </w:rPr>
        <w:t>响应文件构成</w:t>
      </w:r>
      <w:bookmarkEnd w:id="65"/>
    </w:p>
    <w:p w14:paraId="74E141CB">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13.1响应文件构成详见第七章</w:t>
      </w:r>
      <w:r>
        <w:rPr>
          <w:rFonts w:hint="eastAsia" w:ascii="仿宋" w:hAnsi="仿宋" w:eastAsia="仿宋" w:cs="仿宋"/>
          <w:b/>
          <w:bCs/>
          <w:sz w:val="24"/>
          <w:szCs w:val="24"/>
        </w:rPr>
        <w:t>“响应文件格式”</w:t>
      </w:r>
      <w:r>
        <w:rPr>
          <w:rFonts w:hint="eastAsia" w:ascii="仿宋" w:hAnsi="仿宋" w:eastAsia="仿宋" w:cs="仿宋"/>
          <w:b/>
          <w:sz w:val="24"/>
          <w:szCs w:val="24"/>
        </w:rPr>
        <w:t>。</w:t>
      </w:r>
    </w:p>
    <w:p w14:paraId="3B2520AF">
      <w:pPr>
        <w:spacing w:line="470" w:lineRule="exact"/>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未按规定格式填写的供应商将不能通过初步评审。</w:t>
      </w:r>
    </w:p>
    <w:p w14:paraId="177884E5">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66" w:name="_Toc62031147"/>
      <w:bookmarkStart w:id="67" w:name="_Toc16227"/>
      <w:r>
        <w:rPr>
          <w:rFonts w:hint="eastAsia" w:ascii="仿宋" w:hAnsi="仿宋" w:eastAsia="仿宋" w:cs="仿宋"/>
          <w:sz w:val="24"/>
          <w:szCs w:val="24"/>
        </w:rPr>
        <w:t>响应文件的格式要求</w:t>
      </w:r>
      <w:bookmarkEnd w:id="66"/>
      <w:bookmarkEnd w:id="67"/>
    </w:p>
    <w:p w14:paraId="0B8FBDC1">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（1）供应商应按第七章“</w:t>
      </w:r>
      <w:r>
        <w:rPr>
          <w:rFonts w:hint="eastAsia" w:ascii="仿宋" w:hAnsi="仿宋" w:eastAsia="仿宋" w:cs="仿宋"/>
          <w:b/>
          <w:sz w:val="24"/>
          <w:szCs w:val="24"/>
        </w:rPr>
        <w:t>响应文件格式</w:t>
      </w:r>
      <w:r>
        <w:rPr>
          <w:rFonts w:hint="eastAsia" w:ascii="仿宋" w:hAnsi="仿宋" w:eastAsia="仿宋" w:cs="仿宋"/>
          <w:sz w:val="24"/>
          <w:szCs w:val="24"/>
        </w:rPr>
        <w:t>”提供的格式完整地填写。</w:t>
      </w:r>
    </w:p>
    <w:p w14:paraId="6D6DE124">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68" w:name="_Toc62031148"/>
      <w:bookmarkStart w:id="69" w:name="_Toc31671"/>
      <w:r>
        <w:rPr>
          <w:rFonts w:hint="eastAsia" w:ascii="仿宋" w:hAnsi="仿宋" w:eastAsia="仿宋" w:cs="仿宋"/>
          <w:sz w:val="24"/>
          <w:szCs w:val="24"/>
        </w:rPr>
        <w:t>投标报价</w:t>
      </w:r>
      <w:bookmarkEnd w:id="68"/>
      <w:bookmarkEnd w:id="69"/>
    </w:p>
    <w:p w14:paraId="13B9082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15.1报价应为人民币含税价（元），包括完成整个项目的服务成本价格（含利润）、保险、税收、不可预见费、中标服务费等所需全部费用。</w:t>
      </w:r>
    </w:p>
    <w:p w14:paraId="33108574">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15.2 供应商须就“</w:t>
      </w:r>
      <w:r>
        <w:rPr>
          <w:rFonts w:hint="eastAsia" w:ascii="仿宋" w:hAnsi="仿宋" w:eastAsia="仿宋" w:cs="仿宋"/>
          <w:b/>
          <w:bCs/>
          <w:sz w:val="24"/>
          <w:szCs w:val="24"/>
        </w:rPr>
        <w:t>采购需求</w:t>
      </w:r>
      <w:r>
        <w:rPr>
          <w:rFonts w:hint="eastAsia" w:ascii="仿宋" w:hAnsi="仿宋" w:eastAsia="仿宋" w:cs="仿宋"/>
          <w:sz w:val="24"/>
          <w:szCs w:val="24"/>
        </w:rPr>
        <w:t>”中的</w:t>
      </w:r>
      <w:r>
        <w:rPr>
          <w:rFonts w:hint="eastAsia" w:ascii="仿宋" w:hAnsi="仿宋" w:eastAsia="仿宋" w:cs="仿宋"/>
          <w:b/>
          <w:bCs/>
          <w:sz w:val="24"/>
          <w:szCs w:val="24"/>
        </w:rPr>
        <w:t>内容作完整唯一报价</w:t>
      </w:r>
      <w:r>
        <w:rPr>
          <w:rFonts w:hint="eastAsia" w:ascii="仿宋" w:hAnsi="仿宋" w:eastAsia="仿宋" w:cs="仿宋"/>
          <w:sz w:val="24"/>
          <w:szCs w:val="24"/>
        </w:rPr>
        <w:t>。</w:t>
      </w:r>
    </w:p>
    <w:p w14:paraId="7B3227A6">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15.3供应商的投标报价应依据采购文件的要求及有关资料，执行国家规定的现行技术、经济标准、定额及规范，由供应商自行测算出现行市场的各类价格。报价包括但不仅限于完成整个项目期间发生的人员工资、社保费及必要的保险费用和各项税金等所有费用的总和等费用，该报价应符合实际情况并能保证供应商完成履行合同所需的一切工作。合同一旦签订，此合同价格在合同执行期间将不因工作量的变化而调整。</w:t>
      </w:r>
    </w:p>
    <w:p w14:paraId="102311E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15.4政府采购合同履行中，采购人需追加与合同标的相同的服务的，在不改变合同其他条款的前提下，可以与中标单位签订补充合同，但所有补充合同的采购金额变更不得超过原合同采购金额的10%，其中金额增加需办理合同追加手续。</w:t>
      </w:r>
    </w:p>
    <w:p w14:paraId="5D74F0C7">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70" w:name="_Toc62031149"/>
      <w:bookmarkStart w:id="71" w:name="_Toc31567"/>
      <w:r>
        <w:rPr>
          <w:rFonts w:hint="eastAsia" w:ascii="仿宋" w:hAnsi="仿宋" w:eastAsia="仿宋" w:cs="仿宋"/>
          <w:sz w:val="24"/>
          <w:szCs w:val="24"/>
        </w:rPr>
        <w:t>投标货币</w:t>
      </w:r>
      <w:bookmarkEnd w:id="70"/>
      <w:bookmarkEnd w:id="71"/>
    </w:p>
    <w:p w14:paraId="1FDDBF37">
      <w:pPr>
        <w:spacing w:line="470" w:lineRule="exact"/>
        <w:ind w:firstLine="480" w:firstLineChars="200"/>
        <w:jc w:val="left"/>
        <w:rPr>
          <w:rFonts w:ascii="仿宋" w:hAnsi="仿宋" w:eastAsia="仿宋" w:cs="仿宋"/>
          <w:bCs/>
          <w:sz w:val="24"/>
          <w:szCs w:val="24"/>
        </w:rPr>
      </w:pPr>
      <w:r>
        <w:rPr>
          <w:rFonts w:hint="eastAsia" w:ascii="仿宋" w:hAnsi="仿宋" w:eastAsia="仿宋" w:cs="仿宋"/>
          <w:sz w:val="24"/>
          <w:szCs w:val="24"/>
        </w:rPr>
        <w:t>投标应以人民币报价。</w:t>
      </w:r>
    </w:p>
    <w:p w14:paraId="41C68146">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72" w:name="_Toc62031150"/>
      <w:bookmarkStart w:id="73" w:name="_Toc5305"/>
      <w:r>
        <w:rPr>
          <w:rFonts w:hint="eastAsia" w:ascii="仿宋" w:hAnsi="仿宋" w:eastAsia="仿宋" w:cs="仿宋"/>
          <w:sz w:val="24"/>
          <w:szCs w:val="24"/>
        </w:rPr>
        <w:t>投标有效期</w:t>
      </w:r>
      <w:bookmarkEnd w:id="72"/>
      <w:bookmarkEnd w:id="73"/>
    </w:p>
    <w:p w14:paraId="25C8C71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17.1 在“</w:t>
      </w:r>
      <w:r>
        <w:rPr>
          <w:rFonts w:hint="eastAsia" w:ascii="仿宋" w:hAnsi="仿宋" w:eastAsia="仿宋" w:cs="仿宋"/>
          <w:b/>
          <w:bCs/>
          <w:sz w:val="24"/>
          <w:szCs w:val="24"/>
        </w:rPr>
        <w:t>供应商须知前附表</w:t>
      </w:r>
      <w:r>
        <w:rPr>
          <w:rFonts w:hint="eastAsia" w:ascii="仿宋" w:hAnsi="仿宋" w:eastAsia="仿宋" w:cs="仿宋"/>
          <w:sz w:val="24"/>
          <w:szCs w:val="24"/>
        </w:rPr>
        <w:t>”规定的投标有效期内，供应商不得要求撤销或修改其响应文件。</w:t>
      </w:r>
    </w:p>
    <w:p w14:paraId="190DAAD1">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17.2 因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14:paraId="238D6C13">
      <w:pPr>
        <w:pStyle w:val="4"/>
        <w:keepNext w:val="0"/>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74" w:name="_Toc7702"/>
      <w:bookmarkStart w:id="75" w:name="_Toc62031151"/>
      <w:r>
        <w:rPr>
          <w:rFonts w:hint="eastAsia" w:ascii="仿宋" w:hAnsi="仿宋" w:eastAsia="仿宋" w:cs="仿宋"/>
          <w:sz w:val="24"/>
          <w:szCs w:val="24"/>
        </w:rPr>
        <w:t>响应文件的书写要求</w:t>
      </w:r>
      <w:bookmarkEnd w:id="74"/>
      <w:bookmarkEnd w:id="75"/>
    </w:p>
    <w:p w14:paraId="3352B685">
      <w:pPr>
        <w:spacing w:line="470" w:lineRule="exact"/>
        <w:ind w:firstLine="480" w:firstLineChars="200"/>
        <w:jc w:val="left"/>
        <w:rPr>
          <w:rFonts w:ascii="仿宋" w:hAnsi="仿宋" w:eastAsia="仿宋" w:cs="仿宋"/>
          <w:sz w:val="24"/>
          <w:szCs w:val="24"/>
        </w:rPr>
      </w:pPr>
      <w:bookmarkStart w:id="76" w:name="_Toc28433"/>
      <w:bookmarkStart w:id="77" w:name="_Toc17751"/>
      <w:r>
        <w:rPr>
          <w:rFonts w:hint="eastAsia" w:ascii="仿宋" w:hAnsi="仿宋" w:eastAsia="仿宋" w:cs="仿宋"/>
          <w:sz w:val="24"/>
          <w:szCs w:val="24"/>
        </w:rPr>
        <w:t>18.1 响应文件须用不褪色的墨水书写或打印。并按采购文件要求由供应商的法定代表人或其委托代理人签字或盖章并盖单位章。委托代理人签字的，响应文件应附法定代表人签署的授权委托书。</w:t>
      </w:r>
      <w:bookmarkEnd w:id="76"/>
      <w:bookmarkEnd w:id="77"/>
    </w:p>
    <w:p w14:paraId="1A25CEF7">
      <w:pPr>
        <w:spacing w:line="470" w:lineRule="exact"/>
        <w:ind w:firstLine="480" w:firstLineChars="200"/>
        <w:jc w:val="left"/>
        <w:rPr>
          <w:rFonts w:ascii="仿宋" w:hAnsi="仿宋" w:eastAsia="仿宋" w:cs="仿宋"/>
          <w:sz w:val="24"/>
          <w:szCs w:val="24"/>
        </w:rPr>
      </w:pPr>
      <w:bookmarkStart w:id="78" w:name="_Toc17462"/>
      <w:bookmarkStart w:id="79" w:name="_Toc9368"/>
      <w:r>
        <w:rPr>
          <w:rFonts w:hint="eastAsia" w:ascii="仿宋" w:hAnsi="仿宋" w:eastAsia="仿宋" w:cs="仿宋"/>
          <w:sz w:val="24"/>
          <w:szCs w:val="24"/>
        </w:rPr>
        <w:t>18.2 响应文件应尽量避免涂改、行间插字或删除。如果出现上述情况，改动之处应加盖单位章或由供应商的法定代表人或其授权的代理人签字确认。</w:t>
      </w:r>
      <w:bookmarkEnd w:id="78"/>
      <w:bookmarkEnd w:id="79"/>
    </w:p>
    <w:p w14:paraId="0F6280DD">
      <w:pPr>
        <w:spacing w:line="470" w:lineRule="exact"/>
        <w:ind w:firstLine="480" w:firstLineChars="200"/>
        <w:jc w:val="left"/>
        <w:rPr>
          <w:rFonts w:ascii="仿宋" w:hAnsi="仿宋" w:eastAsia="仿宋" w:cs="仿宋"/>
          <w:sz w:val="24"/>
          <w:szCs w:val="24"/>
        </w:rPr>
      </w:pPr>
      <w:bookmarkStart w:id="80" w:name="_Toc19164"/>
      <w:bookmarkStart w:id="81" w:name="_Toc9804"/>
      <w:r>
        <w:rPr>
          <w:rFonts w:hint="eastAsia" w:ascii="仿宋" w:hAnsi="仿宋" w:eastAsia="仿宋" w:cs="仿宋"/>
          <w:sz w:val="24"/>
          <w:szCs w:val="24"/>
        </w:rPr>
        <w:t>18.3字迹潦草、表达不清、未按要求填写而导致非唯一理解，造成未实质性响应采购文件的响应文件将会被认定为无效的投标。</w:t>
      </w:r>
      <w:bookmarkEnd w:id="80"/>
      <w:bookmarkEnd w:id="81"/>
    </w:p>
    <w:p w14:paraId="1EC8C32B">
      <w:pPr>
        <w:spacing w:line="470" w:lineRule="exact"/>
        <w:ind w:firstLine="480" w:firstLineChars="200"/>
        <w:jc w:val="left"/>
        <w:rPr>
          <w:rFonts w:ascii="仿宋" w:hAnsi="仿宋" w:eastAsia="仿宋" w:cs="仿宋"/>
          <w:sz w:val="24"/>
          <w:szCs w:val="24"/>
        </w:rPr>
      </w:pPr>
      <w:bookmarkStart w:id="82" w:name="_Toc22630"/>
      <w:bookmarkStart w:id="83" w:name="_Toc9510"/>
      <w:r>
        <w:rPr>
          <w:rFonts w:hint="eastAsia" w:ascii="仿宋" w:hAnsi="仿宋" w:eastAsia="仿宋" w:cs="仿宋"/>
          <w:sz w:val="24"/>
          <w:szCs w:val="24"/>
        </w:rPr>
        <w:t>18.4响应文件应准备正本一份，并按“供应商须知前附表”中规定的数量准备文件的副本。响应文件封面上应标明“正本”或“副本”等规定的内容。若正本和副本不符，以正本为准，副本可以采用正本的复印件。</w:t>
      </w:r>
      <w:bookmarkEnd w:id="82"/>
      <w:bookmarkEnd w:id="83"/>
    </w:p>
    <w:p w14:paraId="587FC5FE">
      <w:pPr>
        <w:spacing w:line="470" w:lineRule="exact"/>
        <w:ind w:firstLine="480" w:firstLineChars="200"/>
        <w:jc w:val="left"/>
        <w:rPr>
          <w:rFonts w:ascii="仿宋" w:hAnsi="仿宋" w:eastAsia="仿宋" w:cs="仿宋"/>
          <w:sz w:val="24"/>
          <w:szCs w:val="24"/>
        </w:rPr>
      </w:pPr>
      <w:bookmarkStart w:id="84" w:name="_Toc2420"/>
      <w:bookmarkStart w:id="85" w:name="_Toc7222"/>
      <w:r>
        <w:rPr>
          <w:rFonts w:hint="eastAsia" w:ascii="仿宋" w:hAnsi="仿宋" w:eastAsia="仿宋" w:cs="仿宋"/>
          <w:sz w:val="24"/>
          <w:szCs w:val="24"/>
        </w:rPr>
        <w:t>18.5响应文件正本与副本应分别装订成册，并编制目录。响应文件装订应牢固，不得采用活页夹，并要求逐页标注连续页码，否则，采购人或采购人对由于响应文件装订松散而造成的丢失或其他后果不承担任何责任。</w:t>
      </w:r>
      <w:bookmarkEnd w:id="84"/>
      <w:bookmarkEnd w:id="85"/>
    </w:p>
    <w:p w14:paraId="64F63CE0">
      <w:pPr>
        <w:pStyle w:val="4"/>
        <w:keepNext w:val="0"/>
        <w:keepLines w:val="0"/>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86" w:name="_Toc62031152"/>
      <w:bookmarkStart w:id="87" w:name="_Toc26273"/>
      <w:r>
        <w:rPr>
          <w:rFonts w:hint="eastAsia" w:ascii="仿宋" w:hAnsi="仿宋" w:eastAsia="仿宋" w:cs="仿宋"/>
          <w:sz w:val="24"/>
          <w:szCs w:val="24"/>
        </w:rPr>
        <w:t>投标保证金</w:t>
      </w:r>
      <w:bookmarkEnd w:id="86"/>
      <w:bookmarkEnd w:id="87"/>
    </w:p>
    <w:p w14:paraId="5D514654">
      <w:pPr>
        <w:spacing w:line="470" w:lineRule="exact"/>
        <w:ind w:firstLine="480" w:firstLineChars="200"/>
        <w:jc w:val="left"/>
        <w:rPr>
          <w:rFonts w:ascii="仿宋" w:hAnsi="仿宋" w:eastAsia="仿宋" w:cs="仿宋"/>
          <w:sz w:val="24"/>
          <w:szCs w:val="24"/>
        </w:rPr>
      </w:pPr>
      <w:bookmarkStart w:id="88" w:name="_Toc5396"/>
      <w:bookmarkStart w:id="89" w:name="_Toc21510"/>
      <w:r>
        <w:rPr>
          <w:rFonts w:hint="eastAsia" w:ascii="仿宋" w:hAnsi="仿宋" w:eastAsia="仿宋" w:cs="仿宋"/>
          <w:sz w:val="24"/>
          <w:szCs w:val="24"/>
        </w:rPr>
        <w:t>本项目不交保证金。</w:t>
      </w:r>
    </w:p>
    <w:bookmarkEnd w:id="88"/>
    <w:bookmarkEnd w:id="89"/>
    <w:p w14:paraId="0BEF5CC0">
      <w:pPr>
        <w:widowControl/>
        <w:jc w:val="left"/>
        <w:rPr>
          <w:rFonts w:ascii="仿宋" w:hAnsi="仿宋" w:eastAsia="仿宋" w:cs="仿宋"/>
          <w:b/>
          <w:bCs/>
          <w:sz w:val="24"/>
          <w:szCs w:val="24"/>
        </w:rPr>
      </w:pPr>
      <w:r>
        <w:rPr>
          <w:rFonts w:hint="eastAsia" w:ascii="仿宋" w:hAnsi="仿宋" w:eastAsia="仿宋" w:cs="仿宋"/>
          <w:b/>
          <w:bCs/>
          <w:sz w:val="24"/>
          <w:szCs w:val="24"/>
        </w:rPr>
        <w:br w:type="page"/>
      </w:r>
    </w:p>
    <w:p w14:paraId="1B51A8FC">
      <w:pPr>
        <w:widowControl/>
        <w:spacing w:beforeLines="50" w:afterLines="50" w:line="470" w:lineRule="exact"/>
        <w:jc w:val="center"/>
        <w:outlineLvl w:val="1"/>
        <w:rPr>
          <w:rFonts w:ascii="仿宋" w:hAnsi="仿宋" w:eastAsia="仿宋" w:cs="仿宋"/>
          <w:b/>
          <w:bCs/>
          <w:sz w:val="24"/>
          <w:szCs w:val="24"/>
        </w:rPr>
      </w:pPr>
      <w:bookmarkStart w:id="90" w:name="_Toc28368"/>
      <w:r>
        <w:rPr>
          <w:rFonts w:hint="eastAsia" w:ascii="仿宋" w:hAnsi="仿宋" w:eastAsia="仿宋" w:cs="仿宋"/>
          <w:b/>
          <w:bCs/>
          <w:sz w:val="24"/>
          <w:szCs w:val="24"/>
        </w:rPr>
        <w:t>四、响应文件的提交</w:t>
      </w:r>
      <w:bookmarkEnd w:id="90"/>
    </w:p>
    <w:p w14:paraId="775AF584">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91" w:name="_Toc16836"/>
      <w:bookmarkStart w:id="92" w:name="_Toc62031153"/>
      <w:r>
        <w:rPr>
          <w:rFonts w:hint="eastAsia" w:ascii="仿宋" w:hAnsi="仿宋" w:eastAsia="仿宋" w:cs="仿宋"/>
          <w:sz w:val="24"/>
          <w:szCs w:val="24"/>
        </w:rPr>
        <w:t>响应文件的密封与标记</w:t>
      </w:r>
      <w:bookmarkEnd w:id="91"/>
      <w:bookmarkEnd w:id="92"/>
    </w:p>
    <w:p w14:paraId="25534A4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20.1 供应商应按“</w:t>
      </w:r>
      <w:r>
        <w:rPr>
          <w:rFonts w:hint="eastAsia" w:ascii="仿宋" w:hAnsi="仿宋" w:eastAsia="仿宋" w:cs="仿宋"/>
          <w:b/>
          <w:bCs/>
          <w:sz w:val="24"/>
          <w:szCs w:val="24"/>
        </w:rPr>
        <w:t>供应商须知前附表</w:t>
      </w:r>
      <w:r>
        <w:rPr>
          <w:rFonts w:hint="eastAsia" w:ascii="仿宋" w:hAnsi="仿宋" w:eastAsia="仿宋" w:cs="仿宋"/>
          <w:sz w:val="24"/>
          <w:szCs w:val="24"/>
        </w:rPr>
        <w:t>”中规定的正本和副本的数量提交响应文件。</w:t>
      </w:r>
    </w:p>
    <w:p w14:paraId="5AF51AB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20.2 供应商应将投标正、副本文件及电子文档装入同一响应文件袋中加以密封，并在封贴处盖密封章（或单位公章）。</w:t>
      </w:r>
    </w:p>
    <w:p w14:paraId="6D65AB1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20.3 响应文件袋的封面应注明的内容详见“</w:t>
      </w:r>
      <w:r>
        <w:rPr>
          <w:rFonts w:hint="eastAsia" w:ascii="仿宋" w:hAnsi="仿宋" w:eastAsia="仿宋" w:cs="仿宋"/>
          <w:b/>
          <w:bCs/>
          <w:sz w:val="24"/>
          <w:szCs w:val="24"/>
        </w:rPr>
        <w:t>供应商须知前附表</w:t>
      </w:r>
      <w:r>
        <w:rPr>
          <w:rFonts w:hint="eastAsia" w:ascii="仿宋" w:hAnsi="仿宋" w:eastAsia="仿宋" w:cs="仿宋"/>
          <w:sz w:val="24"/>
          <w:szCs w:val="24"/>
        </w:rPr>
        <w:t>”。</w:t>
      </w:r>
    </w:p>
    <w:p w14:paraId="321C974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20.4 供应商在提交响应文件时，未按20.1、20.2、20.3条要求密封、标记的，采购人不予接收。</w:t>
      </w:r>
    </w:p>
    <w:p w14:paraId="135CFDCB">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93" w:name="_Toc62031154"/>
      <w:bookmarkStart w:id="94" w:name="_Toc5010"/>
      <w:r>
        <w:rPr>
          <w:rFonts w:hint="eastAsia" w:ascii="仿宋" w:hAnsi="仿宋" w:eastAsia="仿宋" w:cs="仿宋"/>
          <w:sz w:val="24"/>
          <w:szCs w:val="24"/>
        </w:rPr>
        <w:t>提交响应文件的截止时间和地点</w:t>
      </w:r>
      <w:bookmarkEnd w:id="93"/>
      <w:bookmarkEnd w:id="94"/>
    </w:p>
    <w:p w14:paraId="17BE470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21.1 响应文件的提交不得迟于“</w:t>
      </w:r>
      <w:r>
        <w:rPr>
          <w:rFonts w:hint="eastAsia" w:ascii="仿宋" w:hAnsi="仿宋" w:eastAsia="仿宋" w:cs="仿宋"/>
          <w:b/>
          <w:bCs/>
          <w:sz w:val="24"/>
          <w:szCs w:val="24"/>
        </w:rPr>
        <w:t>供应商须知前附表</w:t>
      </w:r>
      <w:r>
        <w:rPr>
          <w:rFonts w:hint="eastAsia" w:ascii="仿宋" w:hAnsi="仿宋" w:eastAsia="仿宋" w:cs="仿宋"/>
          <w:sz w:val="24"/>
          <w:szCs w:val="24"/>
        </w:rPr>
        <w:t>”规定的提交响应文件截止时间。</w:t>
      </w:r>
    </w:p>
    <w:p w14:paraId="1686194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21.2 供应商必须在规定时间内将响应文件提交到“</w:t>
      </w:r>
      <w:r>
        <w:rPr>
          <w:rFonts w:hint="eastAsia" w:ascii="仿宋" w:hAnsi="仿宋" w:eastAsia="仿宋" w:cs="仿宋"/>
          <w:b/>
          <w:bCs/>
          <w:sz w:val="24"/>
          <w:szCs w:val="24"/>
        </w:rPr>
        <w:t>供应商须知前附表</w:t>
      </w:r>
      <w:r>
        <w:rPr>
          <w:rFonts w:hint="eastAsia" w:ascii="仿宋" w:hAnsi="仿宋" w:eastAsia="仿宋" w:cs="仿宋"/>
          <w:sz w:val="24"/>
          <w:szCs w:val="24"/>
        </w:rPr>
        <w:t>”规定的地点。</w:t>
      </w:r>
    </w:p>
    <w:p w14:paraId="376C611C">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21.3 除“</w:t>
      </w:r>
      <w:r>
        <w:rPr>
          <w:rFonts w:hint="eastAsia" w:ascii="仿宋" w:hAnsi="仿宋" w:eastAsia="仿宋" w:cs="仿宋"/>
          <w:b/>
          <w:sz w:val="24"/>
          <w:szCs w:val="24"/>
        </w:rPr>
        <w:t>供应商须知前附表</w:t>
      </w:r>
      <w:r>
        <w:rPr>
          <w:rFonts w:hint="eastAsia" w:ascii="仿宋" w:hAnsi="仿宋" w:eastAsia="仿宋" w:cs="仿宋"/>
          <w:sz w:val="24"/>
          <w:szCs w:val="24"/>
        </w:rPr>
        <w:t>”另有规定外，供应商所递交的响应文件不予退还。</w:t>
      </w:r>
    </w:p>
    <w:p w14:paraId="678FCB8B">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21.4 逾期送达的或者未送达指定地点的响应文件，采购人不予受理。</w:t>
      </w:r>
    </w:p>
    <w:p w14:paraId="68E53C7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21.5要求供应商提交响应文件的扫描件电子档（包括第13.1条中规定的全部内容），并以光盘形式或U盘随响应文件提交。</w:t>
      </w:r>
    </w:p>
    <w:p w14:paraId="40005B72">
      <w:pPr>
        <w:widowControl/>
        <w:spacing w:beforeLines="50" w:afterLines="50" w:line="470" w:lineRule="exact"/>
        <w:jc w:val="center"/>
        <w:outlineLvl w:val="1"/>
        <w:rPr>
          <w:rFonts w:ascii="仿宋" w:hAnsi="仿宋" w:eastAsia="仿宋" w:cs="仿宋"/>
          <w:b/>
          <w:bCs/>
          <w:sz w:val="24"/>
          <w:szCs w:val="24"/>
        </w:rPr>
      </w:pPr>
      <w:bookmarkStart w:id="95" w:name="_Toc22167"/>
      <w:r>
        <w:rPr>
          <w:rFonts w:hint="eastAsia" w:ascii="仿宋" w:hAnsi="仿宋" w:eastAsia="仿宋" w:cs="仿宋"/>
          <w:b/>
          <w:bCs/>
          <w:sz w:val="24"/>
          <w:szCs w:val="24"/>
        </w:rPr>
        <w:t>五、开标与评标</w:t>
      </w:r>
      <w:bookmarkEnd w:id="95"/>
    </w:p>
    <w:p w14:paraId="6F6A271E">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96" w:name="_Toc23277"/>
      <w:bookmarkStart w:id="97" w:name="_Toc62031155"/>
      <w:r>
        <w:rPr>
          <w:rFonts w:hint="eastAsia" w:ascii="仿宋" w:hAnsi="仿宋" w:eastAsia="仿宋" w:cs="仿宋"/>
          <w:sz w:val="24"/>
          <w:szCs w:val="24"/>
        </w:rPr>
        <w:t>开标</w:t>
      </w:r>
      <w:bookmarkEnd w:id="96"/>
      <w:bookmarkEnd w:id="97"/>
    </w:p>
    <w:p w14:paraId="52A91C05">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22.1 采购人将在“</w:t>
      </w:r>
      <w:r>
        <w:rPr>
          <w:rFonts w:hint="eastAsia" w:ascii="仿宋" w:hAnsi="仿宋" w:eastAsia="仿宋" w:cs="仿宋"/>
          <w:b/>
          <w:bCs/>
          <w:sz w:val="24"/>
          <w:szCs w:val="24"/>
        </w:rPr>
        <w:t>供应商须知前附表</w:t>
      </w:r>
      <w:r>
        <w:rPr>
          <w:rFonts w:hint="eastAsia" w:ascii="仿宋" w:hAnsi="仿宋" w:eastAsia="仿宋" w:cs="仿宋"/>
          <w:sz w:val="24"/>
          <w:szCs w:val="24"/>
        </w:rPr>
        <w:t>”规定的时间和地点进行开标，供应商的法定代表人或其委托代理人应参加开标会（线上会议室到场视为到场），</w:t>
      </w:r>
      <w:r>
        <w:rPr>
          <w:rFonts w:hint="eastAsia" w:ascii="仿宋" w:hAnsi="仿宋" w:eastAsia="仿宋" w:cs="仿宋"/>
          <w:b/>
          <w:bCs/>
          <w:sz w:val="24"/>
          <w:szCs w:val="24"/>
        </w:rPr>
        <w:t>如供应商未派代表出席开标会，视为其默认现场唱标结果，由此产生的后果由供应商自行负责</w:t>
      </w:r>
      <w:r>
        <w:rPr>
          <w:rFonts w:hint="eastAsia" w:ascii="仿宋" w:hAnsi="仿宋" w:eastAsia="仿宋" w:cs="仿宋"/>
          <w:sz w:val="24"/>
          <w:szCs w:val="24"/>
        </w:rPr>
        <w:t>。</w:t>
      </w:r>
    </w:p>
    <w:p w14:paraId="763FD1C6">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22.2 开标时将启封响应文件，采购人宣读供应商名称、投标报价和合同履行期限等内容。</w:t>
      </w:r>
    </w:p>
    <w:p w14:paraId="29871FC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22.3 开标程序</w:t>
      </w:r>
    </w:p>
    <w:p w14:paraId="0E3265C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（1）开标会由采购人主持，主持人宣布开标会议开始；</w:t>
      </w:r>
    </w:p>
    <w:p w14:paraId="3830E7C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（2）介绍参加开标会的人员名单；</w:t>
      </w:r>
    </w:p>
    <w:p w14:paraId="52E57FD8">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（3）供应商相互检验响应文件密封性；</w:t>
      </w:r>
    </w:p>
    <w:p w14:paraId="7AF8312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（4）采购人拆封所有密封完好的响应文件。</w:t>
      </w:r>
    </w:p>
    <w:p w14:paraId="36F32F5C">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（5）唱标：本项目不唱标；</w:t>
      </w:r>
    </w:p>
    <w:p w14:paraId="3A6C928A">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（6）采购人有关人员在开标记录上签字确认。</w:t>
      </w:r>
    </w:p>
    <w:p w14:paraId="4FFCD1C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（7）开标会议结束。</w:t>
      </w:r>
    </w:p>
    <w:p w14:paraId="197182E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22.4 响应文件如果出现计算或表达上的错误，修正错误的原则如下：</w:t>
      </w:r>
    </w:p>
    <w:p w14:paraId="76CC714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（1）响应文件中开标一览表（报价表）内容与响应文件中相应内容不一致的，以开标一览表（报价表）为准；</w:t>
      </w:r>
    </w:p>
    <w:p w14:paraId="45923F4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14:paraId="5C6E7379">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（3）单价金额小数点或者百分比有明显错位的，以开标一览表的总价为准，并修改单价；</w:t>
      </w:r>
    </w:p>
    <w:p w14:paraId="7812017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14:paraId="08E941D8">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（5）按上述修正错误的原则及方法调整或修正响应文件的投标报价，供应商同意后，调整后的投标报价对供应商起约束作用。如果供应商不接受修正后的报价，则其投标无效且其投标保证金也将被没收。</w:t>
      </w:r>
    </w:p>
    <w:p w14:paraId="16526B51">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98" w:name="_Toc62031156"/>
      <w:bookmarkStart w:id="99" w:name="_Toc16808"/>
      <w:r>
        <w:rPr>
          <w:rFonts w:hint="eastAsia" w:ascii="仿宋" w:hAnsi="仿宋" w:eastAsia="仿宋" w:cs="仿宋"/>
          <w:sz w:val="24"/>
          <w:szCs w:val="24"/>
        </w:rPr>
        <w:t>评标</w:t>
      </w:r>
      <w:bookmarkEnd w:id="98"/>
      <w:bookmarkEnd w:id="99"/>
    </w:p>
    <w:p w14:paraId="1DC69916">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23.1  评标由采购人依法组建的评标委员会负责。评标委员会由采购人代表和评审专家组成，成员人数应当为</w:t>
      </w:r>
      <w:r>
        <w:rPr>
          <w:rFonts w:hint="eastAsia" w:ascii="仿宋" w:hAnsi="仿宋" w:eastAsia="仿宋" w:cs="仿宋"/>
          <w:sz w:val="24"/>
          <w:szCs w:val="24"/>
          <w:lang w:val="en-US" w:eastAsia="zh-CN"/>
        </w:rPr>
        <w:t>3</w:t>
      </w:r>
      <w:bookmarkStart w:id="267" w:name="_GoBack"/>
      <w:bookmarkEnd w:id="267"/>
      <w:r>
        <w:rPr>
          <w:rFonts w:hint="eastAsia" w:ascii="仿宋" w:hAnsi="仿宋" w:eastAsia="仿宋" w:cs="仿宋"/>
          <w:sz w:val="24"/>
          <w:szCs w:val="24"/>
        </w:rPr>
        <w:t>人及以上单数，其中评审专家不得少于成员总数的三分之二。</w:t>
      </w:r>
    </w:p>
    <w:p w14:paraId="2973AA2A">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23.2 根据《</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 87 号)规定，评标委员会及其成员不得有下列行为：</w:t>
      </w:r>
    </w:p>
    <w:p w14:paraId="71728D3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（1）确定参与评标至评标结束前私自接触供应商；</w:t>
      </w:r>
    </w:p>
    <w:p w14:paraId="7C49704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（2）接受供应商提出的与响应文件不一致的澄清或者说明，本办法第五十一条规定的情形除外；</w:t>
      </w:r>
    </w:p>
    <w:p w14:paraId="74AAF55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（3）违反评标纪律发表倾向性意见或者征询采购人的倾向性意见；</w:t>
      </w:r>
    </w:p>
    <w:p w14:paraId="4A6898B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（4）对需要专业判断的主观评审因素协商评分；</w:t>
      </w:r>
    </w:p>
    <w:p w14:paraId="3DAC92A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（5）在评标过程中擅离职守，影响评标程序正常进行的；</w:t>
      </w:r>
    </w:p>
    <w:p w14:paraId="4184D654">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（6）记录、复制或者带走任何评标资料；</w:t>
      </w:r>
    </w:p>
    <w:p w14:paraId="7DCC05E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（7）其他不遵守评标纪律的行为。</w:t>
      </w:r>
    </w:p>
    <w:p w14:paraId="07CC6C0B">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评标委员会成员有前款第（1）至（7）项行为之一的，其评审意见无效，并不得获取评审劳务报酬和报销异地评审差旅费。</w:t>
      </w:r>
    </w:p>
    <w:p w14:paraId="7AD1779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23.3 评标中因评标委员会成员缺席、回避或者健康等特殊原因导致评标委员会组成不符合《</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 87 号)规定的，采购人或者采购人应当依法补足后继续评标。被更换的评标委员会成员所作出的评标意见无效。无法及时补足评标委员会成员的，采购人或者采购人应当停止评标活动，封存所有响应文件和开标、评标资料，依法重新组建评标委员会进行评标。原评标委员会所作出的评标意见无效。采购人或者采购人应当将变更、重新组建评标委员会的情况予以记录，并随采购文件一并存档。</w:t>
      </w:r>
    </w:p>
    <w:p w14:paraId="4324F58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23.4评标原则</w:t>
      </w:r>
    </w:p>
    <w:p w14:paraId="2C51A99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评标活动遵循公平、公正、科学和择优的原则。</w:t>
      </w:r>
    </w:p>
    <w:p w14:paraId="1B8C37B6">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23.5评标</w:t>
      </w:r>
    </w:p>
    <w:p w14:paraId="6B8D71F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评标委员会按照第四章“评标办法”规定的方法、评审因素、标准和程序对响应文件进行评审。第四章“评标办法”没有规定的方法、评审因素和标准，不作为评标依据。</w:t>
      </w:r>
    </w:p>
    <w:p w14:paraId="20DF3BE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评标完成后，评标委员会应当向采购人提交书面评标报告和中标候选人名单。评标委员会推荐中标候选人的人数见供应商须知前附表。</w:t>
      </w:r>
    </w:p>
    <w:p w14:paraId="45BB108C">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100" w:name="_Toc62031157"/>
      <w:bookmarkStart w:id="101" w:name="_Toc24177"/>
      <w:r>
        <w:rPr>
          <w:rFonts w:hint="eastAsia" w:ascii="仿宋" w:hAnsi="仿宋" w:eastAsia="仿宋" w:cs="仿宋"/>
          <w:sz w:val="24"/>
          <w:szCs w:val="24"/>
        </w:rPr>
        <w:t>评标过程的保密</w:t>
      </w:r>
      <w:bookmarkEnd w:id="100"/>
      <w:bookmarkEnd w:id="101"/>
    </w:p>
    <w:p w14:paraId="07F718A8">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开标后，直到授予供应商合同止，凡是属于审查、澄清、评审和比较的有关资料以及授标建议等均不得向供应商或其他无关的人员透露。供应商在评标过程中，所进行的力图影响评标结果的不公正活动，可能导致其投标被拒绝。</w:t>
      </w:r>
    </w:p>
    <w:p w14:paraId="00D838AE">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102" w:name="_Toc62031158"/>
      <w:bookmarkStart w:id="103" w:name="_Toc20637"/>
      <w:r>
        <w:rPr>
          <w:rFonts w:hint="eastAsia" w:ascii="仿宋" w:hAnsi="仿宋" w:eastAsia="仿宋" w:cs="仿宋"/>
          <w:sz w:val="24"/>
          <w:szCs w:val="24"/>
        </w:rPr>
        <w:t>在采购采购中，出现下列情形之一的，项目废标：</w:t>
      </w:r>
      <w:bookmarkEnd w:id="102"/>
      <w:bookmarkEnd w:id="103"/>
    </w:p>
    <w:p w14:paraId="1928FA07">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（1）符合专业条件的供应商或者对采购文件作实质响应的供应商不足1家的；</w:t>
      </w:r>
    </w:p>
    <w:p w14:paraId="756D255C">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（2）出现影响采购公正的违法、违规行为的；</w:t>
      </w:r>
    </w:p>
    <w:p w14:paraId="7FB2A36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（3）供应商的报价均超过了采购预算；</w:t>
      </w:r>
    </w:p>
    <w:p w14:paraId="0F806D4A">
      <w:pPr>
        <w:spacing w:line="470" w:lineRule="exact"/>
        <w:ind w:firstLine="480" w:firstLineChars="200"/>
        <w:jc w:val="left"/>
      </w:pPr>
      <w:r>
        <w:rPr>
          <w:rFonts w:hint="eastAsia" w:ascii="仿宋" w:hAnsi="仿宋" w:eastAsia="仿宋" w:cs="仿宋"/>
          <w:sz w:val="24"/>
          <w:szCs w:val="24"/>
        </w:rPr>
        <w:t>（4）因重大变故，采购任务取消的。</w:t>
      </w:r>
    </w:p>
    <w:p w14:paraId="48E74E39">
      <w:pPr>
        <w:widowControl/>
        <w:spacing w:beforeLines="50" w:afterLines="50" w:line="470" w:lineRule="exact"/>
        <w:jc w:val="center"/>
        <w:outlineLvl w:val="1"/>
        <w:rPr>
          <w:rFonts w:ascii="仿宋" w:hAnsi="仿宋" w:eastAsia="仿宋" w:cs="仿宋"/>
          <w:b/>
          <w:bCs/>
          <w:sz w:val="24"/>
          <w:szCs w:val="24"/>
        </w:rPr>
      </w:pPr>
      <w:bookmarkStart w:id="104" w:name="_Toc11826"/>
      <w:r>
        <w:rPr>
          <w:rFonts w:hint="eastAsia" w:ascii="仿宋" w:hAnsi="仿宋" w:eastAsia="仿宋" w:cs="仿宋"/>
          <w:b/>
          <w:bCs/>
          <w:sz w:val="24"/>
          <w:szCs w:val="24"/>
        </w:rPr>
        <w:t>六、中标结果</w:t>
      </w:r>
      <w:bookmarkEnd w:id="104"/>
    </w:p>
    <w:p w14:paraId="1BCA3942">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105" w:name="_Toc4119"/>
      <w:bookmarkStart w:id="106" w:name="_Toc62031159"/>
      <w:r>
        <w:rPr>
          <w:rFonts w:hint="eastAsia" w:ascii="仿宋" w:hAnsi="仿宋" w:eastAsia="仿宋" w:cs="仿宋"/>
          <w:sz w:val="24"/>
          <w:szCs w:val="24"/>
        </w:rPr>
        <w:t>中标人的确定</w:t>
      </w:r>
      <w:bookmarkEnd w:id="105"/>
      <w:bookmarkEnd w:id="106"/>
    </w:p>
    <w:p w14:paraId="5D4EFEC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26.1 采购人应当在评标结束后二个工作日内将评标报告送采购人。</w:t>
      </w:r>
    </w:p>
    <w:p w14:paraId="472BBCD2">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26.2 采购人应当在收到评标报告后五个工作日内，按照评标报告中推荐的中标人顺序确定中标人。</w:t>
      </w:r>
    </w:p>
    <w:p w14:paraId="37C1F469">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107" w:name="_Toc62031160"/>
      <w:bookmarkStart w:id="108" w:name="_Toc30122"/>
      <w:r>
        <w:rPr>
          <w:rFonts w:hint="eastAsia" w:ascii="仿宋" w:hAnsi="仿宋" w:eastAsia="仿宋" w:cs="仿宋"/>
          <w:sz w:val="24"/>
          <w:szCs w:val="24"/>
        </w:rPr>
        <w:t>中标通知书</w:t>
      </w:r>
      <w:bookmarkEnd w:id="107"/>
      <w:bookmarkEnd w:id="108"/>
    </w:p>
    <w:p w14:paraId="73A89F8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27.1 中标人确定后，中标结果由采购人在发布公告媒介上公示,同时向中标人发出中标通知书。</w:t>
      </w:r>
    </w:p>
    <w:p w14:paraId="0EE1A307">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27.2 中标通知书是合同的一个组成部分。</w:t>
      </w:r>
    </w:p>
    <w:p w14:paraId="00EC7678">
      <w:pPr>
        <w:pStyle w:val="4"/>
        <w:numPr>
          <w:ilvl w:val="0"/>
          <w:numId w:val="4"/>
        </w:numPr>
        <w:tabs>
          <w:tab w:val="left" w:pos="900"/>
          <w:tab w:val="left" w:pos="1097"/>
          <w:tab w:val="clear" w:pos="1200"/>
        </w:tabs>
        <w:spacing w:before="0" w:after="0" w:line="470" w:lineRule="exact"/>
        <w:rPr>
          <w:rFonts w:ascii="仿宋" w:hAnsi="仿宋" w:eastAsia="仿宋" w:cs="仿宋"/>
          <w:sz w:val="24"/>
          <w:szCs w:val="24"/>
        </w:rPr>
      </w:pPr>
      <w:bookmarkStart w:id="109" w:name="_Toc29087"/>
      <w:bookmarkStart w:id="110" w:name="_Toc62031161"/>
      <w:r>
        <w:rPr>
          <w:rFonts w:hint="eastAsia" w:ascii="仿宋" w:hAnsi="仿宋" w:eastAsia="仿宋" w:cs="仿宋"/>
          <w:sz w:val="24"/>
          <w:szCs w:val="24"/>
        </w:rPr>
        <w:t>签订合同</w:t>
      </w:r>
      <w:bookmarkEnd w:id="109"/>
      <w:bookmarkEnd w:id="110"/>
    </w:p>
    <w:p w14:paraId="1923B770">
      <w:pPr>
        <w:spacing w:line="470" w:lineRule="exact"/>
        <w:ind w:firstLine="436" w:firstLineChars="200"/>
        <w:jc w:val="left"/>
        <w:rPr>
          <w:rFonts w:ascii="仿宋" w:hAnsi="仿宋" w:eastAsia="仿宋" w:cs="仿宋"/>
          <w:sz w:val="24"/>
          <w:szCs w:val="24"/>
        </w:rPr>
      </w:pPr>
      <w:r>
        <w:rPr>
          <w:rFonts w:hint="eastAsia" w:ascii="仿宋" w:hAnsi="仿宋" w:eastAsia="仿宋" w:cs="仿宋"/>
          <w:spacing w:val="-11"/>
          <w:sz w:val="24"/>
          <w:szCs w:val="24"/>
        </w:rPr>
        <w:t xml:space="preserve">28.1 </w:t>
      </w:r>
      <w:r>
        <w:rPr>
          <w:rFonts w:hint="eastAsia" w:ascii="仿宋" w:hAnsi="仿宋" w:eastAsia="仿宋" w:cs="仿宋"/>
          <w:sz w:val="24"/>
          <w:szCs w:val="24"/>
        </w:rPr>
        <w:t>中标人收到中标通知书后，按采购文件、响应文件及有关澄清承诺书的要求与采购人签订合同。</w:t>
      </w:r>
    </w:p>
    <w:p w14:paraId="0DEF1228">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28.2 中标人因不可抗力或者自身原因不能履行政府采购合同的，采购人可以与排位在中标人之后第一位的中标候选人签订政府采购合同，以此类推。</w:t>
      </w:r>
    </w:p>
    <w:p w14:paraId="3F05A2F8">
      <w:pPr>
        <w:pStyle w:val="4"/>
        <w:numPr>
          <w:ilvl w:val="0"/>
          <w:numId w:val="4"/>
        </w:numPr>
        <w:tabs>
          <w:tab w:val="left" w:pos="900"/>
          <w:tab w:val="left" w:pos="1097"/>
          <w:tab w:val="clear" w:pos="1200"/>
        </w:tabs>
        <w:spacing w:before="0" w:after="0" w:line="440" w:lineRule="exact"/>
        <w:rPr>
          <w:rFonts w:ascii="仿宋" w:hAnsi="仿宋" w:eastAsia="仿宋" w:cs="仿宋"/>
          <w:sz w:val="24"/>
          <w:szCs w:val="24"/>
        </w:rPr>
      </w:pPr>
      <w:bookmarkStart w:id="111" w:name="_Toc4619"/>
      <w:bookmarkStart w:id="112" w:name="_Toc62031162"/>
      <w:r>
        <w:rPr>
          <w:rFonts w:hint="eastAsia" w:ascii="仿宋" w:hAnsi="仿宋" w:eastAsia="仿宋" w:cs="仿宋"/>
          <w:sz w:val="24"/>
          <w:szCs w:val="24"/>
        </w:rPr>
        <w:t>履约保证金</w:t>
      </w:r>
      <w:bookmarkEnd w:id="111"/>
      <w:bookmarkEnd w:id="112"/>
    </w:p>
    <w:p w14:paraId="18552F44">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29.1 签订合同前，中标人应按“</w:t>
      </w:r>
      <w:r>
        <w:rPr>
          <w:rFonts w:hint="eastAsia" w:ascii="仿宋" w:hAnsi="仿宋" w:eastAsia="仿宋" w:cs="仿宋"/>
          <w:b/>
          <w:sz w:val="24"/>
          <w:szCs w:val="24"/>
        </w:rPr>
        <w:t>供应商须知前附表</w:t>
      </w:r>
      <w:r>
        <w:rPr>
          <w:rFonts w:hint="eastAsia" w:ascii="仿宋" w:hAnsi="仿宋" w:eastAsia="仿宋" w:cs="仿宋"/>
          <w:sz w:val="24"/>
          <w:szCs w:val="24"/>
        </w:rPr>
        <w:t>”中确定的履约保证金的金额，向采购人交纳履约保证金。否则，视中标人违约，采购人将没收中标人的全部投标保证金。</w:t>
      </w:r>
    </w:p>
    <w:p w14:paraId="4CC15720">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29.2 签订合同后，如中标人不按双方签订合同约定履约，则没收其全部履约保证金，履约保证金不足以赔偿损失的，按实际损失赔偿。</w:t>
      </w:r>
    </w:p>
    <w:p w14:paraId="565814AE">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29.3 履约保证金按“</w:t>
      </w:r>
      <w:r>
        <w:rPr>
          <w:rFonts w:hint="eastAsia" w:ascii="仿宋" w:hAnsi="仿宋" w:eastAsia="仿宋" w:cs="仿宋"/>
          <w:b/>
          <w:sz w:val="24"/>
          <w:szCs w:val="24"/>
        </w:rPr>
        <w:t>供应商须知前附表</w:t>
      </w:r>
      <w:r>
        <w:rPr>
          <w:rFonts w:hint="eastAsia" w:ascii="仿宋" w:hAnsi="仿宋" w:eastAsia="仿宋" w:cs="仿宋"/>
          <w:sz w:val="24"/>
          <w:szCs w:val="24"/>
        </w:rPr>
        <w:t>”规定的履约保证金退还时间无息退还。</w:t>
      </w:r>
    </w:p>
    <w:p w14:paraId="21C30404">
      <w:pPr>
        <w:widowControl/>
        <w:spacing w:beforeLines="50" w:afterLines="50" w:line="440" w:lineRule="exact"/>
        <w:jc w:val="center"/>
        <w:outlineLvl w:val="1"/>
        <w:rPr>
          <w:rFonts w:ascii="仿宋" w:hAnsi="仿宋" w:eastAsia="仿宋" w:cs="仿宋"/>
          <w:b/>
          <w:bCs/>
          <w:sz w:val="24"/>
          <w:szCs w:val="24"/>
        </w:rPr>
      </w:pPr>
      <w:bookmarkStart w:id="113" w:name="_Toc14690"/>
      <w:r>
        <w:rPr>
          <w:rFonts w:hint="eastAsia" w:ascii="仿宋" w:hAnsi="仿宋" w:eastAsia="仿宋" w:cs="仿宋"/>
          <w:b/>
          <w:bCs/>
          <w:sz w:val="24"/>
          <w:szCs w:val="24"/>
        </w:rPr>
        <w:t>七、其他事项</w:t>
      </w:r>
      <w:bookmarkEnd w:id="113"/>
    </w:p>
    <w:p w14:paraId="27340E6B">
      <w:pPr>
        <w:pStyle w:val="4"/>
        <w:numPr>
          <w:ilvl w:val="0"/>
          <w:numId w:val="4"/>
        </w:numPr>
        <w:tabs>
          <w:tab w:val="left" w:pos="900"/>
          <w:tab w:val="left" w:pos="1097"/>
          <w:tab w:val="clear" w:pos="1200"/>
        </w:tabs>
        <w:spacing w:before="0" w:after="0" w:line="440" w:lineRule="exact"/>
        <w:rPr>
          <w:rFonts w:ascii="仿宋" w:hAnsi="仿宋" w:eastAsia="仿宋" w:cs="仿宋"/>
          <w:sz w:val="24"/>
          <w:szCs w:val="24"/>
        </w:rPr>
      </w:pPr>
      <w:bookmarkStart w:id="114" w:name="_Toc11259"/>
      <w:r>
        <w:rPr>
          <w:rFonts w:hint="eastAsia" w:ascii="仿宋" w:hAnsi="仿宋" w:eastAsia="仿宋" w:cs="仿宋"/>
          <w:sz w:val="24"/>
          <w:szCs w:val="24"/>
        </w:rPr>
        <w:t>中标服务费</w:t>
      </w:r>
      <w:bookmarkEnd w:id="114"/>
    </w:p>
    <w:p w14:paraId="11D19F3A">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30.1中标服务费由采购人向中标人收取，收取标准详见“</w:t>
      </w:r>
      <w:r>
        <w:rPr>
          <w:rFonts w:hint="eastAsia" w:ascii="仿宋" w:hAnsi="仿宋" w:eastAsia="仿宋" w:cs="仿宋"/>
          <w:b/>
          <w:bCs/>
          <w:sz w:val="24"/>
          <w:szCs w:val="24"/>
        </w:rPr>
        <w:t>供应商须知前附表</w:t>
      </w:r>
      <w:r>
        <w:rPr>
          <w:rFonts w:hint="eastAsia" w:ascii="仿宋" w:hAnsi="仿宋" w:eastAsia="仿宋" w:cs="仿宋"/>
          <w:sz w:val="24"/>
          <w:szCs w:val="24"/>
        </w:rPr>
        <w:t>”。</w:t>
      </w:r>
    </w:p>
    <w:p w14:paraId="15BE36B2">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30.2中标单位应在接受“中标通知书”时向采购人一次付清中标服务费。</w:t>
      </w:r>
    </w:p>
    <w:p w14:paraId="6CA14A37">
      <w:pPr>
        <w:pStyle w:val="4"/>
        <w:numPr>
          <w:ilvl w:val="0"/>
          <w:numId w:val="4"/>
        </w:numPr>
        <w:tabs>
          <w:tab w:val="left" w:pos="900"/>
          <w:tab w:val="left" w:pos="1097"/>
          <w:tab w:val="clear" w:pos="1200"/>
        </w:tabs>
        <w:spacing w:before="0" w:after="0" w:line="440" w:lineRule="exact"/>
        <w:rPr>
          <w:rFonts w:ascii="仿宋" w:hAnsi="仿宋" w:eastAsia="仿宋" w:cs="仿宋"/>
          <w:sz w:val="24"/>
          <w:szCs w:val="24"/>
        </w:rPr>
      </w:pPr>
      <w:bookmarkStart w:id="115" w:name="_Toc26115"/>
      <w:bookmarkStart w:id="116" w:name="_Toc62031164"/>
      <w:r>
        <w:rPr>
          <w:rFonts w:hint="eastAsia" w:ascii="仿宋" w:hAnsi="仿宋" w:eastAsia="仿宋" w:cs="仿宋"/>
          <w:sz w:val="24"/>
          <w:szCs w:val="24"/>
        </w:rPr>
        <w:t>解释权</w:t>
      </w:r>
      <w:bookmarkEnd w:id="115"/>
      <w:bookmarkEnd w:id="116"/>
    </w:p>
    <w:p w14:paraId="28427F59">
      <w:pPr>
        <w:spacing w:line="440" w:lineRule="exact"/>
        <w:ind w:firstLine="436" w:firstLineChars="200"/>
        <w:jc w:val="left"/>
        <w:rPr>
          <w:rFonts w:ascii="仿宋" w:hAnsi="仿宋" w:eastAsia="仿宋" w:cs="仿宋"/>
          <w:spacing w:val="-11"/>
          <w:sz w:val="24"/>
          <w:szCs w:val="24"/>
        </w:rPr>
      </w:pPr>
      <w:r>
        <w:rPr>
          <w:rFonts w:hint="eastAsia" w:ascii="仿宋" w:hAnsi="仿宋" w:eastAsia="仿宋" w:cs="仿宋"/>
          <w:spacing w:val="-11"/>
          <w:sz w:val="24"/>
          <w:szCs w:val="24"/>
        </w:rPr>
        <w:t>本采购文件是根据《中华人民共和国政府采购法》及相关法律法规编制，解释权属采购人。</w:t>
      </w:r>
    </w:p>
    <w:p w14:paraId="3C23CA8B">
      <w:pPr>
        <w:pStyle w:val="4"/>
        <w:numPr>
          <w:ilvl w:val="0"/>
          <w:numId w:val="4"/>
        </w:numPr>
        <w:tabs>
          <w:tab w:val="left" w:pos="900"/>
          <w:tab w:val="left" w:pos="1097"/>
          <w:tab w:val="clear" w:pos="1200"/>
        </w:tabs>
        <w:spacing w:before="0" w:after="0" w:line="440" w:lineRule="exact"/>
        <w:rPr>
          <w:rFonts w:ascii="仿宋" w:hAnsi="仿宋" w:eastAsia="仿宋" w:cs="仿宋"/>
          <w:sz w:val="24"/>
          <w:szCs w:val="24"/>
        </w:rPr>
      </w:pPr>
      <w:bookmarkStart w:id="117" w:name="_Toc62031165"/>
      <w:bookmarkStart w:id="118" w:name="_Toc24420"/>
      <w:r>
        <w:rPr>
          <w:rFonts w:hint="eastAsia" w:ascii="仿宋" w:hAnsi="仿宋" w:eastAsia="仿宋" w:cs="仿宋"/>
          <w:sz w:val="24"/>
          <w:szCs w:val="24"/>
        </w:rPr>
        <w:t>需要补充的其他内容</w:t>
      </w:r>
      <w:bookmarkEnd w:id="117"/>
      <w:bookmarkEnd w:id="118"/>
    </w:p>
    <w:p w14:paraId="5C6D2D33">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32.1 需要补充的其他内容：见“</w:t>
      </w:r>
      <w:r>
        <w:rPr>
          <w:rFonts w:hint="eastAsia" w:ascii="仿宋" w:hAnsi="仿宋" w:eastAsia="仿宋" w:cs="仿宋"/>
          <w:b/>
          <w:sz w:val="24"/>
          <w:szCs w:val="24"/>
        </w:rPr>
        <w:t>供应商须知前附表</w:t>
      </w:r>
      <w:r>
        <w:rPr>
          <w:rFonts w:hint="eastAsia" w:ascii="仿宋" w:hAnsi="仿宋" w:eastAsia="仿宋" w:cs="仿宋"/>
          <w:sz w:val="24"/>
          <w:szCs w:val="24"/>
        </w:rPr>
        <w:t>”。</w:t>
      </w:r>
    </w:p>
    <w:p w14:paraId="57B5F6FA">
      <w:pPr>
        <w:pStyle w:val="4"/>
        <w:numPr>
          <w:ilvl w:val="0"/>
          <w:numId w:val="4"/>
        </w:numPr>
        <w:tabs>
          <w:tab w:val="left" w:pos="900"/>
          <w:tab w:val="left" w:pos="1097"/>
          <w:tab w:val="clear" w:pos="1200"/>
        </w:tabs>
        <w:spacing w:before="0" w:after="0" w:line="440" w:lineRule="exact"/>
        <w:rPr>
          <w:rFonts w:ascii="仿宋" w:hAnsi="仿宋" w:eastAsia="仿宋" w:cs="仿宋"/>
          <w:sz w:val="24"/>
          <w:szCs w:val="24"/>
        </w:rPr>
      </w:pPr>
      <w:bookmarkStart w:id="119" w:name="_Toc9733"/>
      <w:bookmarkStart w:id="120" w:name="_Toc62031166"/>
      <w:r>
        <w:rPr>
          <w:rFonts w:hint="eastAsia" w:ascii="仿宋" w:hAnsi="仿宋" w:eastAsia="仿宋" w:cs="仿宋"/>
          <w:sz w:val="24"/>
          <w:szCs w:val="24"/>
        </w:rPr>
        <w:t>纪律和监督</w:t>
      </w:r>
      <w:bookmarkEnd w:id="119"/>
      <w:bookmarkEnd w:id="120"/>
    </w:p>
    <w:p w14:paraId="41A5322B">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33.1 对采购人的纪律要求</w:t>
      </w:r>
    </w:p>
    <w:p w14:paraId="602C956F">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（1）按照《</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 87 号)的规定编制采购需求；</w:t>
      </w:r>
    </w:p>
    <w:p w14:paraId="1B2BDB6F">
      <w:pPr>
        <w:spacing w:line="440" w:lineRule="exact"/>
        <w:ind w:firstLine="436" w:firstLineChars="200"/>
        <w:jc w:val="left"/>
        <w:rPr>
          <w:rFonts w:ascii="仿宋" w:hAnsi="仿宋" w:eastAsia="仿宋" w:cs="仿宋"/>
          <w:spacing w:val="-11"/>
          <w:sz w:val="24"/>
          <w:szCs w:val="24"/>
        </w:rPr>
      </w:pPr>
      <w:r>
        <w:rPr>
          <w:rFonts w:hint="eastAsia" w:ascii="仿宋" w:hAnsi="仿宋" w:eastAsia="仿宋" w:cs="仿宋"/>
          <w:spacing w:val="-11"/>
          <w:sz w:val="24"/>
          <w:szCs w:val="24"/>
        </w:rPr>
        <w:t>（2）采购人不得向供应商索要或者接受其给予的赠品、回扣或者与采购无关的其他商品、服务；</w:t>
      </w:r>
    </w:p>
    <w:p w14:paraId="1BD8A08A">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（3）中标通知书发出后，采购人不得违法改变中标结果；</w:t>
      </w:r>
    </w:p>
    <w:p w14:paraId="5B343725">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（4）不得向中标人提出不合理要求作为签订合同条件。</w:t>
      </w:r>
    </w:p>
    <w:p w14:paraId="702DA875">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33.2 对供应商的纪律要求</w:t>
      </w:r>
    </w:p>
    <w:p w14:paraId="111F26E9">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应当遵循公平竞争的原则，不得恶意串通，不得妨碍其他供应商的竞争行为，不得损害采购人或者其他供应商的合法权益，不得以任何方式干扰、影响评审工作，中标通知书发出后中标人无正当理由不得放弃中标。</w:t>
      </w:r>
    </w:p>
    <w:p w14:paraId="0E94270C">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33.3 对采购人的纪律要求</w:t>
      </w:r>
    </w:p>
    <w:p w14:paraId="05B90AB1">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（1）按照采购人编制的采购需求编制采购文件，内容不得违反法律、行政法规、强制性标准、政府采购政策，或者违反公开透明、公平竞争、公正和诚实信用原则；</w:t>
      </w:r>
    </w:p>
    <w:p w14:paraId="12D6275C">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（2）不得向供应商索要或者接受其给予的赠品、回扣或者与采购无关的其他商品、服务；</w:t>
      </w:r>
    </w:p>
    <w:p w14:paraId="1735DDB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（3）负责组织评标工作，并履行《</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 87 号)第四十五条规定的职责；</w:t>
      </w:r>
    </w:p>
    <w:p w14:paraId="2ACAF168">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（4）采取必要措施，保证评标在严格保密的情况下进行；</w:t>
      </w:r>
    </w:p>
    <w:p w14:paraId="7852D2D4">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（5）采购人及其分支机构不得在所代理的采购项目中投标或者代理投标，不得为所代理的采购项目的供应商参加本项目提供投标咨询。</w:t>
      </w:r>
    </w:p>
    <w:p w14:paraId="18221457">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33.4 对评标委员会成员的纪律要求</w:t>
      </w:r>
    </w:p>
    <w:p w14:paraId="046C8FAC">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 87 号)规定，评标委员会及其成员不得有下列行为：</w:t>
      </w:r>
    </w:p>
    <w:p w14:paraId="428625CF">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（1）确定参与评标至评标结束前私自接触供应商；</w:t>
      </w:r>
    </w:p>
    <w:p w14:paraId="6AF5610D">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（2）接受供应商提出的与响应文件不一致的澄清或者说明，本办法第五十一条规定的情形除外；</w:t>
      </w:r>
    </w:p>
    <w:p w14:paraId="773DCF32">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（3）违反评标纪律发表倾向性意见或者征询采购人的倾向性意见；</w:t>
      </w:r>
    </w:p>
    <w:p w14:paraId="24C1AFD0">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（4）对需要专业判断的主观评审因素协商评分；</w:t>
      </w:r>
    </w:p>
    <w:p w14:paraId="596632D1">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（5）在评标过程中擅离职守，影响评标程序正常进行的；</w:t>
      </w:r>
    </w:p>
    <w:p w14:paraId="3A10EA1E">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（6）记录、复制或者带走任何评标资料；</w:t>
      </w:r>
    </w:p>
    <w:p w14:paraId="31C5F069">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（7）其他不遵守评标纪律的行为。 </w:t>
      </w:r>
    </w:p>
    <w:p w14:paraId="16DF0B55">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33.5对与评审活动有关的工作人员的纪律要求</w:t>
      </w:r>
    </w:p>
    <w:p w14:paraId="455CD261">
      <w:pPr>
        <w:spacing w:line="47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与评审活动有关的工作人员不得收受他人的财物或者其他好处，采购人、采购人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投标截止时间前，采购人、采购人和有关人员不得向他人透露已获取采购文件的潜在供应商的名称、数量以及可能影响公平竞争的有关采购投标的其他情况。任何单位和个人不得在开标前开启响应文件。</w:t>
      </w:r>
    </w:p>
    <w:p w14:paraId="71018863">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33.6 其他</w:t>
      </w:r>
    </w:p>
    <w:p w14:paraId="37F8A864">
      <w:pPr>
        <w:spacing w:line="47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财政部门应当依法履行政府采购监督管理职责。财政部门及其工作人员在履行监督管理职责中不得有懒政怠政、滥用职权、玩忽职守、徇私舞弊等违法违纪行为的。</w:t>
      </w:r>
      <w:r>
        <w:rPr>
          <w:rFonts w:hint="eastAsia" w:ascii="仿宋" w:hAnsi="仿宋" w:eastAsia="仿宋" w:cs="仿宋"/>
          <w:sz w:val="24"/>
          <w:szCs w:val="24"/>
        </w:rPr>
        <w:br w:type="page"/>
      </w:r>
    </w:p>
    <w:p w14:paraId="1E91FBD8">
      <w:pPr>
        <w:pStyle w:val="2"/>
        <w:numPr>
          <w:ilvl w:val="0"/>
          <w:numId w:val="3"/>
        </w:numPr>
        <w:snapToGrid w:val="0"/>
        <w:spacing w:line="360" w:lineRule="auto"/>
        <w:jc w:val="center"/>
        <w:rPr>
          <w:rFonts w:ascii="仿宋" w:hAnsi="仿宋" w:eastAsia="仿宋" w:cs="仿宋"/>
          <w:iCs/>
          <w:sz w:val="44"/>
          <w:szCs w:val="44"/>
        </w:rPr>
      </w:pPr>
      <w:bookmarkStart w:id="121" w:name="_Toc32320"/>
      <w:bookmarkStart w:id="122" w:name="_Toc19257"/>
      <w:bookmarkStart w:id="123" w:name="_Toc62031167"/>
      <w:r>
        <w:rPr>
          <w:rFonts w:hint="eastAsia" w:ascii="仿宋" w:hAnsi="仿宋" w:eastAsia="仿宋" w:cs="仿宋"/>
          <w:iCs/>
          <w:sz w:val="44"/>
          <w:szCs w:val="44"/>
        </w:rPr>
        <w:t>资格审查</w:t>
      </w:r>
      <w:bookmarkEnd w:id="121"/>
      <w:bookmarkEnd w:id="122"/>
    </w:p>
    <w:p w14:paraId="7E4BBE70">
      <w:pPr>
        <w:pStyle w:val="22"/>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公开采购采购项目开标结束后，采购人（和/或）采购人依法对供应商的资格进行审查。</w:t>
      </w:r>
    </w:p>
    <w:p w14:paraId="38279A90">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资格审查：</w:t>
      </w:r>
    </w:p>
    <w:p w14:paraId="0A4EBF53">
      <w:pPr>
        <w:pStyle w:val="11"/>
        <w:spacing w:line="360" w:lineRule="auto"/>
        <w:ind w:left="0" w:firstLine="480" w:firstLineChars="200"/>
        <w:jc w:val="left"/>
        <w:rPr>
          <w:rFonts w:ascii="仿宋" w:hAnsi="仿宋" w:eastAsia="仿宋" w:cs="仿宋"/>
          <w:kern w:val="0"/>
          <w:szCs w:val="24"/>
        </w:rPr>
      </w:pPr>
      <w:r>
        <w:rPr>
          <w:rFonts w:hint="eastAsia" w:ascii="仿宋" w:hAnsi="仿宋" w:eastAsia="仿宋" w:cs="仿宋"/>
          <w:kern w:val="0"/>
          <w:szCs w:val="24"/>
        </w:rPr>
        <w:t>采购人依据法律法规和采购文件的规定，对响应文件中“证明供应商的资格文件”进行审查，以确定供应商是否具备投标资格。只有通过资格审查的响应文件才能进入评标。</w:t>
      </w:r>
    </w:p>
    <w:p w14:paraId="322F0110">
      <w:pPr>
        <w:pStyle w:val="11"/>
        <w:spacing w:line="360" w:lineRule="auto"/>
        <w:ind w:left="0" w:firstLine="480" w:firstLineChars="200"/>
        <w:jc w:val="left"/>
        <w:rPr>
          <w:rFonts w:ascii="仿宋" w:hAnsi="仿宋" w:eastAsia="仿宋" w:cs="仿宋"/>
          <w:kern w:val="0"/>
          <w:szCs w:val="24"/>
        </w:rPr>
      </w:pPr>
      <w:r>
        <w:rPr>
          <w:rFonts w:hint="eastAsia" w:ascii="仿宋" w:hAnsi="仿宋" w:eastAsia="仿宋" w:cs="仿宋"/>
          <w:kern w:val="0"/>
          <w:szCs w:val="24"/>
        </w:rPr>
        <w:t>不符合下列情形之一的响应文件不能通过资格审查：</w:t>
      </w:r>
    </w:p>
    <w:p w14:paraId="6A1CDB94">
      <w:pPr>
        <w:pStyle w:val="9"/>
        <w:spacing w:line="360" w:lineRule="auto"/>
        <w:ind w:firstLine="480"/>
        <w:rPr>
          <w:rFonts w:ascii="仿宋" w:hAnsi="仿宋" w:eastAsia="仿宋" w:cs="仿宋"/>
          <w:sz w:val="24"/>
        </w:rPr>
      </w:pPr>
      <w:r>
        <w:rPr>
          <w:rFonts w:hint="eastAsia" w:ascii="仿宋" w:hAnsi="仿宋" w:eastAsia="仿宋" w:cs="仿宋"/>
          <w:sz w:val="24"/>
        </w:rPr>
        <w:t>1.供应商应符合《中华人民共和国政府采购法》第二十二条及《中华人民共和国政府采购法实施条例》第十七条的要求：</w:t>
      </w:r>
    </w:p>
    <w:p w14:paraId="319D60DA">
      <w:pPr>
        <w:pStyle w:val="9"/>
        <w:spacing w:line="360" w:lineRule="auto"/>
        <w:ind w:firstLine="480"/>
        <w:rPr>
          <w:rFonts w:ascii="仿宋" w:hAnsi="仿宋" w:eastAsia="仿宋" w:cs="仿宋"/>
          <w:b w:val="0"/>
          <w:spacing w:val="-4"/>
          <w:sz w:val="24"/>
          <w:szCs w:val="24"/>
        </w:rPr>
      </w:pPr>
      <w:r>
        <w:rPr>
          <w:rFonts w:hint="eastAsia" w:ascii="仿宋" w:hAnsi="仿宋" w:eastAsia="仿宋" w:cs="仿宋"/>
          <w:sz w:val="24"/>
        </w:rPr>
        <w:t>1.1具有独立承担民事责任的能力：</w:t>
      </w:r>
      <w:r>
        <w:rPr>
          <w:rFonts w:hint="eastAsia" w:ascii="仿宋" w:hAnsi="仿宋" w:eastAsia="仿宋" w:cs="仿宋"/>
          <w:b w:val="0"/>
          <w:spacing w:val="-4"/>
          <w:sz w:val="24"/>
          <w:szCs w:val="24"/>
        </w:rPr>
        <w:t>提供法人或者其他组织的营业执照等证明文件。</w:t>
      </w:r>
    </w:p>
    <w:p w14:paraId="5F7C4D19">
      <w:pPr>
        <w:pStyle w:val="9"/>
        <w:spacing w:line="360" w:lineRule="auto"/>
        <w:ind w:firstLine="480"/>
        <w:rPr>
          <w:rFonts w:ascii="仿宋" w:hAnsi="仿宋" w:eastAsia="仿宋" w:cs="仿宋"/>
          <w:b w:val="0"/>
          <w:sz w:val="24"/>
        </w:rPr>
      </w:pPr>
      <w:r>
        <w:rPr>
          <w:rFonts w:hint="eastAsia" w:ascii="仿宋" w:hAnsi="仿宋" w:eastAsia="仿宋" w:cs="仿宋"/>
          <w:sz w:val="24"/>
        </w:rPr>
        <w:t>1.2具有良好的商业信誉和健全的财务会计制度：</w:t>
      </w:r>
      <w:r>
        <w:rPr>
          <w:rFonts w:hint="eastAsia" w:ascii="仿宋" w:hAnsi="仿宋" w:eastAsia="仿宋" w:cs="仿宋"/>
          <w:b w:val="0"/>
          <w:sz w:val="24"/>
        </w:rPr>
        <w:t>①提供企业未列入严重违法失信企业名单（黑名单）查询结果截图（以采购人、采购人查询结果为准）；</w:t>
      </w:r>
      <w:r>
        <w:rPr>
          <w:rFonts w:hint="eastAsia" w:ascii="仿宋" w:hAnsi="仿宋" w:eastAsia="仿宋" w:cs="仿宋"/>
          <w:b w:val="0"/>
          <w:color w:val="0000FF"/>
          <w:sz w:val="24"/>
        </w:rPr>
        <w:t>②提供经第三方审计机构审计的2023年度至今任意一年的财务状况审计报告或基本开户银行出具的资信证明（新成立无年审报告的无需提供，对该事项进行说明）。</w:t>
      </w:r>
    </w:p>
    <w:p w14:paraId="678BD03D">
      <w:pPr>
        <w:pStyle w:val="9"/>
        <w:spacing w:line="360" w:lineRule="auto"/>
        <w:ind w:firstLine="480"/>
        <w:rPr>
          <w:rFonts w:ascii="仿宋" w:hAnsi="仿宋" w:eastAsia="仿宋" w:cs="仿宋"/>
          <w:b w:val="0"/>
          <w:sz w:val="24"/>
        </w:rPr>
      </w:pPr>
      <w:r>
        <w:rPr>
          <w:rFonts w:hint="eastAsia" w:ascii="仿宋" w:hAnsi="仿宋" w:eastAsia="仿宋" w:cs="仿宋"/>
          <w:sz w:val="24"/>
        </w:rPr>
        <w:t>1.3具有依法缴纳税收和社会保障资金的良好记录：</w:t>
      </w:r>
      <w:r>
        <w:rPr>
          <w:rFonts w:hint="eastAsia" w:ascii="仿宋" w:hAnsi="仿宋" w:eastAsia="仿宋" w:cs="仿宋"/>
          <w:b w:val="0"/>
          <w:spacing w:val="0"/>
          <w:sz w:val="24"/>
        </w:rPr>
        <w:t>①提供2023年</w:t>
      </w:r>
      <w:r>
        <w:rPr>
          <w:rFonts w:ascii="仿宋" w:hAnsi="仿宋" w:eastAsia="仿宋" w:cs="仿宋"/>
          <w:b w:val="0"/>
          <w:spacing w:val="0"/>
          <w:sz w:val="24"/>
        </w:rPr>
        <w:t>10</w:t>
      </w:r>
      <w:r>
        <w:rPr>
          <w:rFonts w:hint="eastAsia" w:ascii="仿宋" w:hAnsi="仿宋" w:eastAsia="仿宋" w:cs="仿宋"/>
          <w:b w:val="0"/>
          <w:spacing w:val="0"/>
          <w:sz w:val="24"/>
        </w:rPr>
        <w:t>月至今期间（税款所属时期）任意2个月的税务局税收通用缴款书复印件或银行电子缴税（费）凭证复印件或税务局出具纳税情况的相关证明复印件；②提供2023年</w:t>
      </w:r>
      <w:r>
        <w:rPr>
          <w:rFonts w:ascii="仿宋" w:hAnsi="仿宋" w:eastAsia="仿宋" w:cs="仿宋"/>
          <w:b w:val="0"/>
          <w:spacing w:val="0"/>
          <w:sz w:val="24"/>
        </w:rPr>
        <w:t>10</w:t>
      </w:r>
      <w:r>
        <w:rPr>
          <w:rFonts w:hint="eastAsia" w:ascii="仿宋" w:hAnsi="仿宋" w:eastAsia="仿宋" w:cs="仿宋"/>
          <w:b w:val="0"/>
          <w:spacing w:val="0"/>
          <w:sz w:val="24"/>
        </w:rPr>
        <w:t>月至今期间（费款所属时期）任意2个月的社会保险费缴款书复印件或银行电子缴税（费）凭证复印件或社保管理部门出具的有效的缴款证明复印件。（成立未满一年的提供成立以来的税收和社会保障资金缴纳凭证或相关情况说明；依法免税或不需要缴纳社会保障资金的供应商，应提供相应文件证明其依法免税或不需要缴纳社会保障资金）。</w:t>
      </w:r>
    </w:p>
    <w:p w14:paraId="146861F6">
      <w:pPr>
        <w:pStyle w:val="9"/>
        <w:spacing w:line="360" w:lineRule="auto"/>
        <w:ind w:firstLine="480"/>
        <w:rPr>
          <w:rFonts w:ascii="仿宋" w:hAnsi="仿宋" w:eastAsia="仿宋" w:cs="仿宋"/>
          <w:sz w:val="24"/>
        </w:rPr>
      </w:pPr>
      <w:r>
        <w:rPr>
          <w:rFonts w:hint="eastAsia" w:ascii="仿宋" w:hAnsi="仿宋" w:eastAsia="仿宋" w:cs="仿宋"/>
          <w:sz w:val="24"/>
        </w:rPr>
        <w:t>1.4具有履行合同所必需的设备和专业技术能力：</w:t>
      </w:r>
      <w:r>
        <w:rPr>
          <w:rFonts w:hint="eastAsia" w:ascii="仿宋" w:hAnsi="仿宋" w:eastAsia="仿宋" w:cs="仿宋"/>
          <w:b w:val="0"/>
          <w:sz w:val="24"/>
        </w:rPr>
        <w:t>提供相关证明材料或书面声明。</w:t>
      </w:r>
    </w:p>
    <w:p w14:paraId="55A76ECB">
      <w:pPr>
        <w:pStyle w:val="9"/>
        <w:spacing w:line="360" w:lineRule="auto"/>
        <w:ind w:firstLine="480"/>
        <w:rPr>
          <w:rFonts w:ascii="仿宋" w:hAnsi="仿宋" w:eastAsia="仿宋" w:cs="仿宋"/>
          <w:b w:val="0"/>
          <w:sz w:val="24"/>
        </w:rPr>
      </w:pPr>
      <w:r>
        <w:rPr>
          <w:rFonts w:hint="eastAsia" w:ascii="仿宋" w:hAnsi="仿宋" w:eastAsia="仿宋" w:cs="仿宋"/>
          <w:sz w:val="24"/>
        </w:rPr>
        <w:t>1.5参与本次政府采购活动前三年内，在经营活动中没有重大违法记录：</w:t>
      </w:r>
      <w:r>
        <w:rPr>
          <w:rFonts w:hint="eastAsia" w:ascii="仿宋" w:hAnsi="仿宋" w:eastAsia="仿宋" w:cs="仿宋"/>
          <w:b w:val="0"/>
          <w:sz w:val="24"/>
        </w:rPr>
        <w:t>提供参加本次政府采购活动前三年内在经营活动中没有重大违法记录的书面声明。</w:t>
      </w:r>
    </w:p>
    <w:p w14:paraId="3A59854F">
      <w:pPr>
        <w:pStyle w:val="9"/>
        <w:spacing w:line="360" w:lineRule="auto"/>
        <w:ind w:firstLine="480"/>
        <w:rPr>
          <w:rFonts w:ascii="仿宋" w:hAnsi="仿宋" w:eastAsia="仿宋" w:cs="仿宋"/>
          <w:b w:val="0"/>
          <w:sz w:val="24"/>
        </w:rPr>
      </w:pPr>
      <w:r>
        <w:rPr>
          <w:rFonts w:hint="eastAsia" w:ascii="仿宋" w:hAnsi="仿宋" w:eastAsia="仿宋" w:cs="仿宋"/>
          <w:sz w:val="24"/>
        </w:rPr>
        <w:t>2.信用要求：</w:t>
      </w:r>
      <w:r>
        <w:rPr>
          <w:rFonts w:hint="eastAsia" w:ascii="仿宋" w:hAnsi="仿宋" w:eastAsia="仿宋" w:cs="仿宋"/>
          <w:b w:val="0"/>
          <w:sz w:val="24"/>
        </w:rPr>
        <w:t>供应商应在“信用中国”网站(www.creditchina.gov.cn)未被列入失信被执行人记录、重大税收违法案件当事人名单且在中国政府采购网(www.ccgp.gov.cn)没有政府采购严重违法失信行为记录，(被禁止在一定期限内参加政府采购活动但期限届满的除外)，参与本项目的供应商信用查询截止时点：本项目采购公告发布之日起至投标截止时间（查询结果以采购人查询结果为准）。</w:t>
      </w:r>
    </w:p>
    <w:p w14:paraId="08710A48">
      <w:pPr>
        <w:pStyle w:val="9"/>
        <w:spacing w:line="360" w:lineRule="auto"/>
        <w:ind w:firstLine="480"/>
        <w:rPr>
          <w:rFonts w:ascii="仿宋" w:hAnsi="仿宋" w:eastAsia="仿宋" w:cs="仿宋"/>
          <w:sz w:val="24"/>
        </w:rPr>
      </w:pPr>
      <w:r>
        <w:rPr>
          <w:rFonts w:hint="eastAsia" w:ascii="仿宋" w:hAnsi="仿宋" w:eastAsia="仿宋" w:cs="仿宋"/>
          <w:sz w:val="24"/>
        </w:rPr>
        <w:t>3.其他要求</w:t>
      </w:r>
    </w:p>
    <w:p w14:paraId="138E53AE">
      <w:pPr>
        <w:pStyle w:val="9"/>
        <w:spacing w:line="360" w:lineRule="auto"/>
        <w:ind w:firstLine="480"/>
        <w:rPr>
          <w:rFonts w:ascii="仿宋" w:hAnsi="仿宋" w:eastAsia="仿宋" w:cs="仿宋"/>
          <w:b w:val="0"/>
          <w:sz w:val="24"/>
        </w:rPr>
      </w:pPr>
      <w:r>
        <w:rPr>
          <w:rFonts w:hint="eastAsia" w:ascii="仿宋" w:hAnsi="仿宋" w:eastAsia="仿宋" w:cs="仿宋"/>
          <w:b w:val="0"/>
          <w:sz w:val="24"/>
        </w:rPr>
        <w:t>3.1本次采购不接受联合体投标。</w:t>
      </w:r>
    </w:p>
    <w:p w14:paraId="13D93997">
      <w:pPr>
        <w:pStyle w:val="9"/>
        <w:spacing w:line="360" w:lineRule="auto"/>
        <w:ind w:firstLine="480"/>
        <w:rPr>
          <w:rFonts w:ascii="仿宋" w:hAnsi="仿宋" w:eastAsia="仿宋" w:cs="仿宋"/>
          <w:b w:val="0"/>
          <w:sz w:val="24"/>
        </w:rPr>
      </w:pPr>
      <w:r>
        <w:rPr>
          <w:rFonts w:hint="eastAsia" w:ascii="仿宋" w:hAnsi="仿宋" w:eastAsia="仿宋" w:cs="仿宋"/>
          <w:b w:val="0"/>
          <w:sz w:val="24"/>
        </w:rPr>
        <w:t>3.2单</w:t>
      </w:r>
      <w:r>
        <w:rPr>
          <w:rFonts w:hint="eastAsia" w:ascii="仿宋" w:hAnsi="仿宋" w:eastAsia="仿宋" w:cs="仿宋"/>
          <w:b w:val="0"/>
          <w:spacing w:val="0"/>
          <w:sz w:val="24"/>
        </w:rPr>
        <w:t>位负责人为同一人或者存在直接控股、管理关系的不同供应商，不得参加同一合同项下的政府采购活动。</w:t>
      </w:r>
    </w:p>
    <w:p w14:paraId="1FC291E3">
      <w:pPr>
        <w:spacing w:line="360" w:lineRule="auto"/>
        <w:ind w:firstLine="501" w:firstLineChars="224"/>
        <w:rPr>
          <w:rStyle w:val="76"/>
          <w:rFonts w:ascii="宋体" w:hAnsi="宋体" w:eastAsia="仿宋"/>
          <w:color w:val="FF0000"/>
          <w:kern w:val="0"/>
          <w:sz w:val="24"/>
          <w:szCs w:val="24"/>
        </w:rPr>
      </w:pPr>
      <w:r>
        <w:rPr>
          <w:rFonts w:hint="eastAsia" w:ascii="仿宋" w:hAnsi="仿宋" w:eastAsia="仿宋" w:cs="仿宋"/>
          <w:b/>
          <w:bCs/>
          <w:spacing w:val="-8"/>
          <w:sz w:val="24"/>
          <w:szCs w:val="44"/>
        </w:rPr>
        <w:t>3.3本项目的特定资格要求：见前附表特定资格部分</w:t>
      </w:r>
    </w:p>
    <w:p w14:paraId="33499D1A">
      <w:pPr>
        <w:spacing w:line="500" w:lineRule="exact"/>
        <w:ind w:firstLine="480" w:firstLineChars="200"/>
        <w:rPr>
          <w:rFonts w:ascii="仿宋" w:hAnsi="仿宋" w:eastAsia="仿宋" w:cs="仿宋"/>
          <w:sz w:val="24"/>
          <w:szCs w:val="44"/>
        </w:rPr>
      </w:pPr>
    </w:p>
    <w:p w14:paraId="686EB9B0">
      <w:pPr>
        <w:rPr>
          <w:rFonts w:ascii="仿宋" w:hAnsi="仿宋" w:eastAsia="仿宋" w:cs="仿宋"/>
        </w:rPr>
      </w:pPr>
    </w:p>
    <w:p w14:paraId="489C804E">
      <w:pPr>
        <w:rPr>
          <w:rFonts w:ascii="仿宋" w:hAnsi="仿宋" w:eastAsia="仿宋" w:cs="仿宋"/>
        </w:rPr>
      </w:pPr>
    </w:p>
    <w:p w14:paraId="11648487">
      <w:pPr>
        <w:rPr>
          <w:rFonts w:ascii="仿宋" w:hAnsi="仿宋" w:eastAsia="仿宋" w:cs="仿宋"/>
        </w:rPr>
      </w:pPr>
    </w:p>
    <w:p w14:paraId="184505A9">
      <w:pPr>
        <w:rPr>
          <w:rFonts w:ascii="仿宋" w:hAnsi="仿宋" w:eastAsia="仿宋" w:cs="仿宋"/>
        </w:rPr>
      </w:pPr>
    </w:p>
    <w:p w14:paraId="5120FA3A">
      <w:pPr>
        <w:rPr>
          <w:rFonts w:ascii="仿宋" w:hAnsi="仿宋" w:eastAsia="仿宋" w:cs="仿宋"/>
          <w:sz w:val="44"/>
          <w:szCs w:val="44"/>
        </w:rPr>
      </w:pPr>
      <w:r>
        <w:rPr>
          <w:rFonts w:hint="eastAsia" w:ascii="仿宋" w:hAnsi="仿宋" w:eastAsia="仿宋" w:cs="仿宋"/>
          <w:sz w:val="44"/>
          <w:szCs w:val="44"/>
        </w:rPr>
        <w:br w:type="page"/>
      </w:r>
    </w:p>
    <w:p w14:paraId="5786AFD0">
      <w:pPr>
        <w:pStyle w:val="2"/>
        <w:numPr>
          <w:ilvl w:val="0"/>
          <w:numId w:val="0"/>
        </w:numPr>
        <w:tabs>
          <w:tab w:val="left" w:pos="360"/>
          <w:tab w:val="clear" w:pos="720"/>
        </w:tabs>
        <w:ind w:firstLine="880" w:firstLineChars="200"/>
        <w:jc w:val="center"/>
        <w:rPr>
          <w:rFonts w:ascii="仿宋" w:hAnsi="仿宋" w:eastAsia="仿宋" w:cs="仿宋"/>
          <w:sz w:val="32"/>
          <w:szCs w:val="32"/>
        </w:rPr>
      </w:pPr>
      <w:bookmarkStart w:id="124" w:name="_Toc25577"/>
      <w:bookmarkStart w:id="125" w:name="_Toc23263"/>
      <w:r>
        <w:rPr>
          <w:rFonts w:hint="eastAsia" w:ascii="仿宋" w:hAnsi="仿宋" w:eastAsia="仿宋" w:cs="仿宋"/>
          <w:iCs/>
          <w:sz w:val="44"/>
          <w:szCs w:val="44"/>
        </w:rPr>
        <w:t>第四章评标办法（综合评分法）</w:t>
      </w:r>
      <w:bookmarkEnd w:id="124"/>
      <w:bookmarkEnd w:id="125"/>
    </w:p>
    <w:p w14:paraId="5ED333C2">
      <w:pPr>
        <w:spacing w:beforeLines="30" w:afterLines="30" w:line="500" w:lineRule="exact"/>
        <w:ind w:firstLine="480" w:firstLineChars="200"/>
        <w:outlineLvl w:val="1"/>
        <w:rPr>
          <w:rFonts w:ascii="仿宋" w:hAnsi="仿宋" w:eastAsia="仿宋" w:cs="仿宋"/>
          <w:b/>
          <w:bCs/>
          <w:sz w:val="24"/>
          <w:szCs w:val="24"/>
        </w:rPr>
      </w:pPr>
      <w:bookmarkStart w:id="126" w:name="_Toc20435"/>
      <w:bookmarkStart w:id="127" w:name="_Toc6527"/>
      <w:r>
        <w:rPr>
          <w:rFonts w:hint="eastAsia" w:ascii="仿宋" w:hAnsi="仿宋" w:eastAsia="仿宋" w:cs="仿宋"/>
          <w:b/>
          <w:bCs/>
          <w:sz w:val="24"/>
          <w:szCs w:val="24"/>
        </w:rPr>
        <w:t>一、评标机构</w:t>
      </w:r>
      <w:bookmarkEnd w:id="126"/>
      <w:bookmarkEnd w:id="127"/>
    </w:p>
    <w:p w14:paraId="6EE7B1D9">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评标机构为评标委员会，评标委员会的组成见供应商须知前附表23.1。</w:t>
      </w:r>
    </w:p>
    <w:p w14:paraId="0BB405EB">
      <w:pPr>
        <w:spacing w:beforeLines="30" w:afterLines="30" w:line="500" w:lineRule="exact"/>
        <w:ind w:firstLine="480" w:firstLineChars="200"/>
        <w:outlineLvl w:val="1"/>
        <w:rPr>
          <w:rFonts w:ascii="仿宋" w:hAnsi="仿宋" w:eastAsia="仿宋" w:cs="仿宋"/>
          <w:b/>
          <w:bCs/>
          <w:sz w:val="24"/>
          <w:szCs w:val="24"/>
        </w:rPr>
      </w:pPr>
      <w:bookmarkStart w:id="128" w:name="_Toc15766"/>
      <w:bookmarkStart w:id="129" w:name="_Toc20163"/>
      <w:r>
        <w:rPr>
          <w:rFonts w:hint="eastAsia" w:ascii="仿宋" w:hAnsi="仿宋" w:eastAsia="仿宋" w:cs="仿宋"/>
          <w:b/>
          <w:bCs/>
          <w:sz w:val="24"/>
          <w:szCs w:val="24"/>
        </w:rPr>
        <w:t>二、采购人或者采购人职责</w:t>
      </w:r>
      <w:bookmarkEnd w:id="128"/>
      <w:bookmarkEnd w:id="129"/>
    </w:p>
    <w:p w14:paraId="29C03EC0">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采购人负责组织评标工作，并履行下列职责：</w:t>
      </w:r>
    </w:p>
    <w:p w14:paraId="14EED231">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（一）核对评审专家身份和采购人代表，对评审专家在政府采购活动中的职责履行情况予以记录，并及时将有关违法违规行为向财政部门报告。</w:t>
      </w:r>
    </w:p>
    <w:p w14:paraId="39A57925">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（二）宣布评标纪律。</w:t>
      </w:r>
    </w:p>
    <w:p w14:paraId="4ED0E39F">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（三）公布供应商名单，告知评审专家应当回避的情形。</w:t>
      </w:r>
    </w:p>
    <w:p w14:paraId="30F9EA87">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（四）组织评标委员会推选评标组长，采购人代表不得担任组长。</w:t>
      </w:r>
    </w:p>
    <w:p w14:paraId="112D49A9">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（五）在评标期间采取必要的通讯管理措施，保证评标活动不受外界干扰。</w:t>
      </w:r>
    </w:p>
    <w:p w14:paraId="32CB714F">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（六）根据评标委员会的要求介绍政府采购相关政策法规、采购文件。</w:t>
      </w:r>
    </w:p>
    <w:p w14:paraId="1E10B564">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（七）维护评标秩序，监督评标委员会依照采购文件规定的评标程序、方法和标准进行独立评审，及时制止和纠正采购人代表、评审专家的倾向性言论或者违法违规行为。</w:t>
      </w:r>
    </w:p>
    <w:p w14:paraId="77E672B8">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（八）核对评标结果，有《</w:t>
      </w:r>
      <w:r>
        <w:rPr>
          <w:rFonts w:hint="eastAsia" w:ascii="仿宋" w:hAnsi="仿宋" w:eastAsia="仿宋" w:cs="仿宋"/>
          <w:color w:val="0000FF"/>
          <w:szCs w:val="24"/>
        </w:rPr>
        <w:t>政府采购货物和服务招标投标管理办法</w:t>
      </w:r>
      <w:r>
        <w:rPr>
          <w:rFonts w:hint="eastAsia" w:ascii="仿宋" w:hAnsi="仿宋" w:eastAsia="仿宋" w:cs="仿宋"/>
          <w:szCs w:val="24"/>
        </w:rPr>
        <w:t>》（财政部第87号令）第六十四条规定情形的，要求评标委员会复核或者书面说明理由，评标委员会拒绝的，应予记录并向本级财政部门报告。</w:t>
      </w:r>
    </w:p>
    <w:p w14:paraId="1FE22784">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（九）评审工作完成后，按照规定向评审专家支付劳务报酬和异地评审差旅费，不得向评审专家以外的其他人员支付评审劳务报酬。</w:t>
      </w:r>
    </w:p>
    <w:p w14:paraId="62A01800">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（十）处理与评标有关的其他事项。</w:t>
      </w:r>
    </w:p>
    <w:p w14:paraId="4ECCB4C7">
      <w:pPr>
        <w:pStyle w:val="11"/>
        <w:spacing w:line="500" w:lineRule="exact"/>
        <w:ind w:left="0" w:firstLine="480" w:firstLineChars="200"/>
        <w:jc w:val="left"/>
        <w:rPr>
          <w:rFonts w:ascii="仿宋" w:hAnsi="仿宋" w:eastAsia="仿宋" w:cs="仿宋"/>
          <w:szCs w:val="24"/>
        </w:rPr>
      </w:pPr>
      <w:r>
        <w:rPr>
          <w:rFonts w:hint="eastAsia" w:ascii="仿宋" w:hAnsi="仿宋" w:eastAsia="仿宋" w:cs="仿宋"/>
          <w:szCs w:val="24"/>
        </w:rPr>
        <w:t>采购人可以在评标前说明项目背景和采购需求，说明内容不得含有歧视性、倾向性意见，不得超出采购文件所述范围。说明应当提交书面材料，并随采购文件一并存档。</w:t>
      </w:r>
    </w:p>
    <w:p w14:paraId="4C0935D2">
      <w:pPr>
        <w:spacing w:beforeLines="30" w:afterLines="30" w:line="500" w:lineRule="exact"/>
        <w:ind w:firstLine="480" w:firstLineChars="200"/>
        <w:outlineLvl w:val="1"/>
        <w:rPr>
          <w:rFonts w:ascii="仿宋" w:hAnsi="仿宋" w:eastAsia="仿宋" w:cs="仿宋"/>
          <w:b/>
          <w:bCs/>
          <w:sz w:val="24"/>
          <w:szCs w:val="24"/>
        </w:rPr>
      </w:pPr>
      <w:bookmarkStart w:id="130" w:name="_Toc1845"/>
      <w:bookmarkStart w:id="131" w:name="_Toc24749"/>
      <w:r>
        <w:rPr>
          <w:rFonts w:hint="eastAsia" w:ascii="仿宋" w:hAnsi="仿宋" w:eastAsia="仿宋" w:cs="仿宋"/>
          <w:b/>
          <w:bCs/>
          <w:sz w:val="24"/>
          <w:szCs w:val="24"/>
        </w:rPr>
        <w:t>三、评标委员会职责</w:t>
      </w:r>
      <w:bookmarkEnd w:id="130"/>
      <w:bookmarkEnd w:id="131"/>
    </w:p>
    <w:p w14:paraId="30A0CE7D">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评标委员会负责具体评标事务，并独立履行下列职责：</w:t>
      </w:r>
    </w:p>
    <w:p w14:paraId="76667E19">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（一）审查、评价响应文件是否符合采购文件的商务、技术、服务等实质性要求。</w:t>
      </w:r>
    </w:p>
    <w:p w14:paraId="04AA27E0">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（二）要求供应商对响应文件有关事项作出澄清或者说明。</w:t>
      </w:r>
    </w:p>
    <w:p w14:paraId="1B0466C4">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（三）对响应文件进行比较和评价。</w:t>
      </w:r>
    </w:p>
    <w:p w14:paraId="6B45EBF4">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（四）评标委员会按得分由高到低顺序推荐中标候选人，并提出书面评标报告。</w:t>
      </w:r>
    </w:p>
    <w:p w14:paraId="798BA8A9">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（五）向采购人、采购人或者有关部门报告评标中发现的违法行为。</w:t>
      </w:r>
    </w:p>
    <w:p w14:paraId="564AD1D0">
      <w:pPr>
        <w:spacing w:beforeLines="30" w:afterLines="30" w:line="500" w:lineRule="exact"/>
        <w:ind w:firstLine="480" w:firstLineChars="200"/>
        <w:outlineLvl w:val="1"/>
        <w:rPr>
          <w:rFonts w:ascii="仿宋" w:hAnsi="仿宋" w:eastAsia="仿宋" w:cs="仿宋"/>
          <w:b/>
          <w:bCs/>
          <w:sz w:val="24"/>
          <w:szCs w:val="24"/>
        </w:rPr>
      </w:pPr>
      <w:bookmarkStart w:id="132" w:name="_Toc16706"/>
      <w:bookmarkStart w:id="133" w:name="_Toc15186"/>
      <w:r>
        <w:rPr>
          <w:rFonts w:hint="eastAsia" w:ascii="仿宋" w:hAnsi="仿宋" w:eastAsia="仿宋" w:cs="仿宋"/>
          <w:b/>
          <w:bCs/>
          <w:sz w:val="24"/>
          <w:szCs w:val="24"/>
        </w:rPr>
        <w:t>四、评标纪律</w:t>
      </w:r>
      <w:bookmarkEnd w:id="132"/>
      <w:bookmarkEnd w:id="133"/>
    </w:p>
    <w:p w14:paraId="4DB86296">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（一）对评标内容和评标过程要严格保密，不得向供应商或与该过程无关的其它人员泄露。</w:t>
      </w:r>
    </w:p>
    <w:p w14:paraId="353547E1">
      <w:pPr>
        <w:pStyle w:val="11"/>
        <w:spacing w:line="500" w:lineRule="exact"/>
        <w:ind w:left="0" w:firstLine="436" w:firstLineChars="200"/>
        <w:rPr>
          <w:rFonts w:ascii="仿宋" w:hAnsi="仿宋" w:eastAsia="仿宋" w:cs="仿宋"/>
          <w:spacing w:val="-11"/>
          <w:szCs w:val="24"/>
        </w:rPr>
      </w:pPr>
      <w:r>
        <w:rPr>
          <w:rFonts w:hint="eastAsia" w:ascii="仿宋" w:hAnsi="仿宋" w:eastAsia="仿宋" w:cs="仿宋"/>
          <w:spacing w:val="-11"/>
          <w:szCs w:val="24"/>
        </w:rPr>
        <w:t>（二）评标期间的一切资料，包括评标意见、评标记录和评标结论，一律不得向外传和泄露。</w:t>
      </w:r>
    </w:p>
    <w:p w14:paraId="5D2804A3">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（三）任何属于响应文件审查、澄清、评价和比较的资料，不得向供应商或与该过程无关的其它人员泄露。</w:t>
      </w:r>
    </w:p>
    <w:p w14:paraId="3A1EF535">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（四）所有资料（包括采购文件、响应文件、评标表格及各种文字记录）在评标结束后均应分别整理、存档备查，任何人不得复制和保留。</w:t>
      </w:r>
    </w:p>
    <w:p w14:paraId="7C5B5AF2">
      <w:pPr>
        <w:pStyle w:val="11"/>
        <w:spacing w:line="500" w:lineRule="exact"/>
        <w:ind w:left="0" w:firstLine="436" w:firstLineChars="200"/>
        <w:rPr>
          <w:rFonts w:ascii="仿宋" w:hAnsi="仿宋" w:eastAsia="仿宋" w:cs="仿宋"/>
          <w:spacing w:val="-11"/>
          <w:szCs w:val="24"/>
        </w:rPr>
      </w:pPr>
      <w:r>
        <w:rPr>
          <w:rFonts w:hint="eastAsia" w:ascii="仿宋" w:hAnsi="仿宋" w:eastAsia="仿宋" w:cs="仿宋"/>
          <w:spacing w:val="-11"/>
          <w:szCs w:val="24"/>
        </w:rPr>
        <w:t>（五）评标期间，未经允许评标委员会以外的任何单位或部门不得参加评标和采访评标工作。</w:t>
      </w:r>
    </w:p>
    <w:p w14:paraId="2D01480A">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（六）评标期间，评标人员不得外出，确需外出时应事先请假。</w:t>
      </w:r>
    </w:p>
    <w:p w14:paraId="06809877">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（七）评标期间，所有与会人员均不得私自以任何方式和供应商进行联系，需询问、澄清的问题由评委会统一组织办理。</w:t>
      </w:r>
    </w:p>
    <w:p w14:paraId="307B8FDC">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（八）评标结束后，与会人员不得向外界透露评标人员的评标意见，如因此造成的后果由责任者承担。</w:t>
      </w:r>
    </w:p>
    <w:p w14:paraId="59E50814">
      <w:pPr>
        <w:spacing w:beforeLines="30" w:afterLines="30" w:line="500" w:lineRule="exact"/>
        <w:ind w:firstLine="480" w:firstLineChars="200"/>
        <w:outlineLvl w:val="1"/>
        <w:rPr>
          <w:rFonts w:ascii="仿宋" w:hAnsi="仿宋" w:eastAsia="仿宋" w:cs="仿宋"/>
          <w:b/>
          <w:bCs/>
          <w:sz w:val="24"/>
          <w:szCs w:val="24"/>
        </w:rPr>
      </w:pPr>
      <w:bookmarkStart w:id="134" w:name="_Toc6712"/>
      <w:bookmarkStart w:id="135" w:name="_Toc20216"/>
      <w:r>
        <w:rPr>
          <w:rFonts w:hint="eastAsia" w:ascii="仿宋" w:hAnsi="仿宋" w:eastAsia="仿宋" w:cs="仿宋"/>
          <w:b/>
          <w:bCs/>
          <w:sz w:val="24"/>
          <w:szCs w:val="24"/>
        </w:rPr>
        <w:t>五、评标原则</w:t>
      </w:r>
      <w:bookmarkEnd w:id="134"/>
      <w:bookmarkEnd w:id="135"/>
    </w:p>
    <w:p w14:paraId="737E9DC2">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评标将遵循下列原则：</w:t>
      </w:r>
    </w:p>
    <w:p w14:paraId="170B8329">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（一）坚持公平、公正、科学、择优的原则，本着实事求是的精神，不带有任何主观意愿和偏见，认真负责地做好评标工作，公平、公正地对待每一个供应商。</w:t>
      </w:r>
    </w:p>
    <w:p w14:paraId="7E5DAADA">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（二）全面分析，综合评审。</w:t>
      </w:r>
    </w:p>
    <w:p w14:paraId="6D3CA76F">
      <w:pPr>
        <w:pStyle w:val="11"/>
        <w:spacing w:line="500" w:lineRule="exact"/>
        <w:ind w:left="0" w:firstLine="436" w:firstLineChars="200"/>
        <w:rPr>
          <w:rFonts w:ascii="仿宋" w:hAnsi="仿宋" w:eastAsia="仿宋" w:cs="仿宋"/>
          <w:spacing w:val="-11"/>
          <w:szCs w:val="24"/>
        </w:rPr>
      </w:pPr>
      <w:r>
        <w:rPr>
          <w:rFonts w:hint="eastAsia" w:ascii="仿宋" w:hAnsi="仿宋" w:eastAsia="仿宋" w:cs="仿宋"/>
          <w:spacing w:val="-11"/>
          <w:szCs w:val="24"/>
        </w:rPr>
        <w:t>（三）评标只对供应商的响应文件进行评审，响应文件以外的资料、信息不应作为评标的依据。</w:t>
      </w:r>
    </w:p>
    <w:p w14:paraId="739961E0">
      <w:pPr>
        <w:spacing w:beforeLines="30" w:afterLines="30" w:line="500" w:lineRule="exact"/>
        <w:ind w:firstLine="480" w:firstLineChars="200"/>
        <w:outlineLvl w:val="1"/>
        <w:rPr>
          <w:rFonts w:ascii="仿宋" w:hAnsi="仿宋" w:eastAsia="仿宋" w:cs="仿宋"/>
          <w:b/>
          <w:bCs/>
          <w:sz w:val="24"/>
          <w:szCs w:val="24"/>
        </w:rPr>
      </w:pPr>
      <w:bookmarkStart w:id="136" w:name="_Toc6979"/>
      <w:bookmarkStart w:id="137" w:name="_Toc9766"/>
      <w:r>
        <w:rPr>
          <w:rFonts w:hint="eastAsia" w:ascii="仿宋" w:hAnsi="仿宋" w:eastAsia="仿宋" w:cs="仿宋"/>
          <w:b/>
          <w:bCs/>
          <w:sz w:val="24"/>
          <w:szCs w:val="24"/>
        </w:rPr>
        <w:t>六、评标程序</w:t>
      </w:r>
      <w:bookmarkEnd w:id="136"/>
      <w:bookmarkEnd w:id="137"/>
    </w:p>
    <w:p w14:paraId="747E78C9">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本次采购所采用的评标方法为《</w:t>
      </w:r>
      <w:r>
        <w:rPr>
          <w:rFonts w:hint="eastAsia" w:ascii="仿宋" w:hAnsi="仿宋" w:eastAsia="仿宋" w:cs="仿宋"/>
          <w:color w:val="0000FF"/>
          <w:szCs w:val="24"/>
        </w:rPr>
        <w:t>政府采购货物和服务招标投标管理办法</w:t>
      </w:r>
      <w:r>
        <w:rPr>
          <w:rFonts w:hint="eastAsia" w:ascii="仿宋" w:hAnsi="仿宋" w:eastAsia="仿宋" w:cs="仿宋"/>
          <w:szCs w:val="24"/>
        </w:rPr>
        <w:t>》（财政部令第87号）第五十五条规定的“综合评分法”，即：响应文件满足采购文件全部实质性要求，且按照评审因素的量化指标评审得分最高的供应商为中标候选人的评标方法。评标结果按评审后得分由高到低顺序排列。得分相同的，按投标报价由低到高顺序排列。得分且投标报价相同的按技术部分得分由高到低顺序排序。</w:t>
      </w:r>
    </w:p>
    <w:p w14:paraId="529F1AEC">
      <w:pPr>
        <w:pStyle w:val="2"/>
        <w:numPr>
          <w:ilvl w:val="3"/>
          <w:numId w:val="0"/>
        </w:numPr>
        <w:adjustRightInd w:val="0"/>
        <w:snapToGrid w:val="0"/>
        <w:spacing w:line="360" w:lineRule="auto"/>
        <w:jc w:val="center"/>
        <w:rPr>
          <w:rFonts w:ascii="宋体" w:hAnsi="宋体"/>
          <w:color w:val="000000"/>
        </w:rPr>
      </w:pPr>
      <w:bookmarkStart w:id="138" w:name="_Toc6942"/>
      <w:r>
        <w:rPr>
          <w:rFonts w:hint="eastAsia" w:ascii="宋体" w:hAnsi="宋体"/>
          <w:color w:val="000000"/>
          <w:sz w:val="30"/>
          <w:szCs w:val="30"/>
        </w:rPr>
        <w:t>评标办法（综合评分法）</w:t>
      </w:r>
      <w:bookmarkEnd w:id="138"/>
    </w:p>
    <w:tbl>
      <w:tblPr>
        <w:tblStyle w:val="24"/>
        <w:tblW w:w="960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899"/>
        <w:gridCol w:w="5890"/>
      </w:tblGrid>
      <w:tr w14:paraId="39021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Align w:val="center"/>
          </w:tcPr>
          <w:p w14:paraId="34FF50E9">
            <w:pPr>
              <w:spacing w:beforeLines="50" w:line="360" w:lineRule="auto"/>
              <w:jc w:val="center"/>
              <w:rPr>
                <w:rFonts w:ascii="宋体" w:hAnsi="宋体"/>
                <w:b/>
                <w:color w:val="000000"/>
                <w:szCs w:val="21"/>
              </w:rPr>
            </w:pPr>
            <w:r>
              <w:rPr>
                <w:rFonts w:hint="eastAsia" w:ascii="宋体" w:hAnsi="宋体"/>
                <w:b/>
                <w:color w:val="000000"/>
                <w:szCs w:val="21"/>
              </w:rPr>
              <w:t>条款号</w:t>
            </w:r>
          </w:p>
        </w:tc>
        <w:tc>
          <w:tcPr>
            <w:tcW w:w="2899" w:type="dxa"/>
            <w:vAlign w:val="center"/>
          </w:tcPr>
          <w:p w14:paraId="7CEC0063">
            <w:pPr>
              <w:wordWrap w:val="0"/>
              <w:spacing w:beforeLines="50" w:line="360" w:lineRule="auto"/>
              <w:jc w:val="center"/>
              <w:rPr>
                <w:rFonts w:ascii="宋体" w:hAnsi="宋体"/>
                <w:b/>
                <w:color w:val="000000"/>
                <w:szCs w:val="21"/>
              </w:rPr>
            </w:pPr>
            <w:r>
              <w:rPr>
                <w:rFonts w:hint="eastAsia" w:ascii="宋体" w:hAnsi="宋体"/>
                <w:b/>
                <w:color w:val="000000"/>
                <w:szCs w:val="21"/>
              </w:rPr>
              <w:t>评审因素</w:t>
            </w:r>
          </w:p>
        </w:tc>
        <w:tc>
          <w:tcPr>
            <w:tcW w:w="5890" w:type="dxa"/>
            <w:vAlign w:val="center"/>
          </w:tcPr>
          <w:p w14:paraId="19E6E352">
            <w:pPr>
              <w:wordWrap w:val="0"/>
              <w:spacing w:beforeLines="50" w:line="360" w:lineRule="auto"/>
              <w:jc w:val="center"/>
              <w:rPr>
                <w:rFonts w:ascii="宋体" w:hAnsi="宋体"/>
                <w:b/>
                <w:color w:val="000000"/>
                <w:szCs w:val="21"/>
              </w:rPr>
            </w:pPr>
            <w:r>
              <w:rPr>
                <w:rFonts w:hint="eastAsia" w:ascii="宋体" w:hAnsi="宋体"/>
                <w:b/>
                <w:color w:val="000000"/>
                <w:szCs w:val="21"/>
              </w:rPr>
              <w:t>评审标准</w:t>
            </w:r>
          </w:p>
        </w:tc>
      </w:tr>
      <w:tr w14:paraId="501F57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restart"/>
            <w:vAlign w:val="center"/>
          </w:tcPr>
          <w:p w14:paraId="75AB988F">
            <w:pPr>
              <w:wordWrap w:val="0"/>
              <w:spacing w:beforeLines="50" w:line="360" w:lineRule="auto"/>
              <w:jc w:val="center"/>
              <w:rPr>
                <w:rFonts w:ascii="宋体" w:hAnsi="宋体"/>
                <w:color w:val="000000"/>
                <w:szCs w:val="21"/>
              </w:rPr>
            </w:pPr>
            <w:r>
              <w:rPr>
                <w:rFonts w:hint="eastAsia" w:ascii="宋体" w:hAnsi="宋体"/>
                <w:color w:val="000000"/>
                <w:szCs w:val="21"/>
              </w:rPr>
              <w:t>符合性评审</w:t>
            </w:r>
          </w:p>
        </w:tc>
        <w:tc>
          <w:tcPr>
            <w:tcW w:w="2899" w:type="dxa"/>
            <w:vAlign w:val="center"/>
          </w:tcPr>
          <w:p w14:paraId="06387479">
            <w:pPr>
              <w:wordWrap w:val="0"/>
              <w:spacing w:beforeLines="50" w:line="360" w:lineRule="auto"/>
              <w:jc w:val="center"/>
              <w:rPr>
                <w:rFonts w:ascii="宋体" w:hAnsi="宋体"/>
                <w:color w:val="000000"/>
                <w:szCs w:val="21"/>
              </w:rPr>
            </w:pPr>
            <w:r>
              <w:rPr>
                <w:rFonts w:hint="eastAsia" w:ascii="宋体" w:hAnsi="宋体"/>
                <w:color w:val="000000"/>
                <w:szCs w:val="21"/>
              </w:rPr>
              <w:t>响应文件格式</w:t>
            </w:r>
          </w:p>
        </w:tc>
        <w:tc>
          <w:tcPr>
            <w:tcW w:w="5890" w:type="dxa"/>
            <w:vAlign w:val="center"/>
          </w:tcPr>
          <w:p w14:paraId="2C9E9E35">
            <w:pPr>
              <w:wordWrap w:val="0"/>
              <w:spacing w:beforeLines="50" w:line="360" w:lineRule="auto"/>
              <w:rPr>
                <w:rFonts w:ascii="宋体" w:hAnsi="宋体"/>
                <w:color w:val="000000"/>
                <w:szCs w:val="21"/>
              </w:rPr>
            </w:pPr>
            <w:r>
              <w:rPr>
                <w:rFonts w:hint="eastAsia" w:ascii="宋体" w:hAnsi="宋体"/>
                <w:color w:val="000000"/>
                <w:szCs w:val="21"/>
              </w:rPr>
              <w:t>符合采购文件第七章“响应文件格式”和第二章“供应商须知”第3.7.1项要求的要求。</w:t>
            </w:r>
          </w:p>
        </w:tc>
      </w:tr>
      <w:tr w14:paraId="7F7DD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2F464A1F">
            <w:pPr>
              <w:wordWrap w:val="0"/>
              <w:spacing w:beforeLines="50" w:line="360" w:lineRule="auto"/>
              <w:jc w:val="center"/>
              <w:rPr>
                <w:rFonts w:ascii="宋体" w:hAnsi="宋体"/>
                <w:color w:val="000000"/>
                <w:szCs w:val="21"/>
              </w:rPr>
            </w:pPr>
          </w:p>
        </w:tc>
        <w:tc>
          <w:tcPr>
            <w:tcW w:w="2899" w:type="dxa"/>
            <w:vAlign w:val="center"/>
          </w:tcPr>
          <w:p w14:paraId="7CECA4D7">
            <w:pPr>
              <w:wordWrap w:val="0"/>
              <w:spacing w:beforeLines="50" w:line="360" w:lineRule="auto"/>
              <w:jc w:val="center"/>
              <w:rPr>
                <w:rFonts w:ascii="宋体" w:hAnsi="宋体"/>
                <w:color w:val="000000"/>
                <w:szCs w:val="21"/>
              </w:rPr>
            </w:pPr>
            <w:r>
              <w:rPr>
                <w:rFonts w:hint="eastAsia" w:ascii="宋体" w:hAnsi="宋体"/>
                <w:color w:val="000000"/>
                <w:szCs w:val="21"/>
              </w:rPr>
              <w:t>响应文件的签字或盖章要求</w:t>
            </w:r>
          </w:p>
        </w:tc>
        <w:tc>
          <w:tcPr>
            <w:tcW w:w="5890" w:type="dxa"/>
            <w:vAlign w:val="center"/>
          </w:tcPr>
          <w:p w14:paraId="16C352AA">
            <w:pPr>
              <w:wordWrap w:val="0"/>
              <w:spacing w:beforeLines="50" w:line="360" w:lineRule="auto"/>
              <w:rPr>
                <w:rFonts w:ascii="宋体" w:hAnsi="宋体"/>
                <w:color w:val="000000"/>
                <w:szCs w:val="21"/>
              </w:rPr>
            </w:pPr>
            <w:r>
              <w:rPr>
                <w:rFonts w:hint="eastAsia" w:ascii="宋体" w:hAnsi="宋体"/>
                <w:color w:val="000000"/>
                <w:szCs w:val="21"/>
              </w:rPr>
              <w:t>符合采购文件第二章“供应商须知前附表”3.7</w:t>
            </w:r>
            <w:r>
              <w:rPr>
                <w:rFonts w:ascii="宋体" w:hAnsi="宋体"/>
                <w:color w:val="000000"/>
                <w:szCs w:val="21"/>
              </w:rPr>
              <w:t>.</w:t>
            </w:r>
            <w:r>
              <w:rPr>
                <w:rFonts w:hint="eastAsia" w:ascii="宋体" w:hAnsi="宋体"/>
                <w:color w:val="000000"/>
                <w:szCs w:val="21"/>
              </w:rPr>
              <w:t>3项要求。</w:t>
            </w:r>
          </w:p>
        </w:tc>
      </w:tr>
      <w:tr w14:paraId="784CDB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65ED8B83">
            <w:pPr>
              <w:wordWrap w:val="0"/>
              <w:spacing w:beforeLines="50" w:line="360" w:lineRule="auto"/>
              <w:rPr>
                <w:rFonts w:ascii="宋体" w:hAnsi="宋体"/>
                <w:color w:val="000000"/>
                <w:szCs w:val="21"/>
              </w:rPr>
            </w:pPr>
          </w:p>
        </w:tc>
        <w:tc>
          <w:tcPr>
            <w:tcW w:w="2899" w:type="dxa"/>
            <w:vAlign w:val="center"/>
          </w:tcPr>
          <w:p w14:paraId="75ACA723">
            <w:pPr>
              <w:wordWrap w:val="0"/>
              <w:spacing w:beforeLines="50" w:line="360" w:lineRule="auto"/>
              <w:jc w:val="center"/>
              <w:rPr>
                <w:rFonts w:ascii="宋体" w:hAnsi="宋体"/>
                <w:color w:val="000000"/>
                <w:szCs w:val="21"/>
              </w:rPr>
            </w:pPr>
            <w:r>
              <w:rPr>
                <w:rFonts w:hint="eastAsia" w:ascii="宋体" w:hAnsi="宋体"/>
                <w:color w:val="000000"/>
                <w:szCs w:val="21"/>
              </w:rPr>
              <w:t>投标报价</w:t>
            </w:r>
          </w:p>
        </w:tc>
        <w:tc>
          <w:tcPr>
            <w:tcW w:w="5890" w:type="dxa"/>
            <w:vAlign w:val="center"/>
          </w:tcPr>
          <w:p w14:paraId="2A229F81">
            <w:pPr>
              <w:spacing w:line="360" w:lineRule="auto"/>
              <w:rPr>
                <w:rFonts w:ascii="宋体" w:hAnsi="宋体"/>
                <w:color w:val="000000"/>
                <w:szCs w:val="21"/>
              </w:rPr>
            </w:pPr>
            <w:r>
              <w:rPr>
                <w:rFonts w:hint="eastAsia" w:ascii="宋体" w:hAnsi="宋体"/>
                <w:color w:val="000000"/>
                <w:szCs w:val="21"/>
              </w:rPr>
              <w:t>1.投标报价符合第二章“供应商须知正文部分”3.2条的规定，且报价唯一的；</w:t>
            </w:r>
          </w:p>
          <w:p w14:paraId="670C1D92">
            <w:pPr>
              <w:spacing w:line="360" w:lineRule="auto"/>
              <w:rPr>
                <w:rFonts w:ascii="宋体" w:hAnsi="宋体"/>
                <w:color w:val="000000"/>
                <w:szCs w:val="21"/>
              </w:rPr>
            </w:pPr>
            <w:r>
              <w:rPr>
                <w:rFonts w:hint="eastAsia" w:ascii="宋体" w:hAnsi="宋体"/>
                <w:color w:val="000000"/>
                <w:szCs w:val="21"/>
              </w:rPr>
              <w:t>2.低于（含等于）第二章“供应商须知”前附表第10.1项载明的采购预算（最高投标限价）；</w:t>
            </w:r>
          </w:p>
          <w:p w14:paraId="25F9C117">
            <w:pPr>
              <w:pStyle w:val="9"/>
              <w:rPr>
                <w:rFonts w:ascii="宋体" w:hAnsi="宋体"/>
                <w:color w:val="000000"/>
                <w:sz w:val="21"/>
                <w:szCs w:val="21"/>
              </w:rPr>
            </w:pPr>
            <w:r>
              <w:rPr>
                <w:rFonts w:hint="eastAsia" w:ascii="宋体" w:hAnsi="宋体"/>
                <w:color w:val="000000"/>
                <w:sz w:val="21"/>
                <w:szCs w:val="21"/>
              </w:rPr>
              <w:t>3.填报的投标报价未超过预算价或最高限价。</w:t>
            </w:r>
          </w:p>
        </w:tc>
      </w:tr>
      <w:tr w14:paraId="44FCA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2CA355A7">
            <w:pPr>
              <w:wordWrap w:val="0"/>
              <w:spacing w:beforeLines="50" w:line="360" w:lineRule="auto"/>
              <w:rPr>
                <w:rFonts w:ascii="宋体" w:hAnsi="宋体"/>
                <w:color w:val="000000"/>
                <w:szCs w:val="21"/>
              </w:rPr>
            </w:pPr>
          </w:p>
        </w:tc>
        <w:tc>
          <w:tcPr>
            <w:tcW w:w="2899" w:type="dxa"/>
            <w:vAlign w:val="center"/>
          </w:tcPr>
          <w:p w14:paraId="548C3CE9">
            <w:pPr>
              <w:wordWrap w:val="0"/>
              <w:spacing w:beforeLines="50" w:line="360" w:lineRule="auto"/>
              <w:jc w:val="center"/>
              <w:rPr>
                <w:rFonts w:ascii="宋体" w:hAnsi="宋体"/>
                <w:color w:val="000000"/>
                <w:szCs w:val="21"/>
              </w:rPr>
            </w:pPr>
            <w:r>
              <w:rPr>
                <w:rFonts w:hint="eastAsia" w:ascii="宋体" w:hAnsi="宋体"/>
                <w:color w:val="000000"/>
                <w:szCs w:val="21"/>
              </w:rPr>
              <w:t>合同履行期限</w:t>
            </w:r>
          </w:p>
        </w:tc>
        <w:tc>
          <w:tcPr>
            <w:tcW w:w="5890" w:type="dxa"/>
            <w:vAlign w:val="center"/>
          </w:tcPr>
          <w:p w14:paraId="4344BA9E">
            <w:pPr>
              <w:wordWrap w:val="0"/>
              <w:spacing w:beforeLines="50" w:line="360" w:lineRule="auto"/>
              <w:rPr>
                <w:rFonts w:ascii="宋体" w:hAnsi="宋体"/>
                <w:color w:val="000000"/>
                <w:szCs w:val="21"/>
              </w:rPr>
            </w:pPr>
            <w:r>
              <w:rPr>
                <w:rFonts w:hint="eastAsia" w:ascii="宋体" w:hAnsi="宋体"/>
                <w:color w:val="000000"/>
                <w:szCs w:val="21"/>
              </w:rPr>
              <w:t>符合采购文件第二章“供应商须知前附表”1.3.2项要求。</w:t>
            </w:r>
          </w:p>
        </w:tc>
      </w:tr>
      <w:tr w14:paraId="355690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51561EB2">
            <w:pPr>
              <w:wordWrap w:val="0"/>
              <w:spacing w:beforeLines="50" w:line="360" w:lineRule="auto"/>
              <w:rPr>
                <w:rFonts w:ascii="宋体" w:hAnsi="宋体"/>
                <w:color w:val="000000"/>
                <w:szCs w:val="21"/>
              </w:rPr>
            </w:pPr>
          </w:p>
        </w:tc>
        <w:tc>
          <w:tcPr>
            <w:tcW w:w="2899" w:type="dxa"/>
            <w:vAlign w:val="center"/>
          </w:tcPr>
          <w:p w14:paraId="4538BA71">
            <w:pPr>
              <w:wordWrap w:val="0"/>
              <w:spacing w:beforeLines="50" w:line="360" w:lineRule="auto"/>
              <w:jc w:val="center"/>
              <w:rPr>
                <w:rFonts w:ascii="宋体" w:hAnsi="宋体"/>
                <w:color w:val="000000"/>
                <w:szCs w:val="21"/>
              </w:rPr>
            </w:pPr>
            <w:r>
              <w:rPr>
                <w:rFonts w:hint="eastAsia" w:ascii="宋体" w:hAnsi="宋体"/>
                <w:color w:val="000000"/>
                <w:szCs w:val="21"/>
              </w:rPr>
              <w:t>质量标准</w:t>
            </w:r>
          </w:p>
        </w:tc>
        <w:tc>
          <w:tcPr>
            <w:tcW w:w="5890" w:type="dxa"/>
            <w:vAlign w:val="center"/>
          </w:tcPr>
          <w:p w14:paraId="17F7C8BB">
            <w:pPr>
              <w:wordWrap w:val="0"/>
              <w:spacing w:beforeLines="50" w:line="360" w:lineRule="auto"/>
              <w:rPr>
                <w:rFonts w:ascii="宋体" w:hAnsi="宋体"/>
                <w:color w:val="000000"/>
                <w:szCs w:val="21"/>
              </w:rPr>
            </w:pPr>
            <w:r>
              <w:rPr>
                <w:rFonts w:hint="eastAsia" w:ascii="宋体" w:hAnsi="宋体"/>
                <w:color w:val="000000"/>
                <w:szCs w:val="21"/>
              </w:rPr>
              <w:t>符合采购文件第二章“供应商须知前附表”1.3.3项要求。</w:t>
            </w:r>
          </w:p>
        </w:tc>
      </w:tr>
      <w:tr w14:paraId="07F8C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1D27C00E">
            <w:pPr>
              <w:wordWrap w:val="0"/>
              <w:spacing w:beforeLines="50" w:line="360" w:lineRule="auto"/>
              <w:rPr>
                <w:rFonts w:ascii="宋体" w:hAnsi="宋体"/>
                <w:color w:val="000000"/>
                <w:szCs w:val="21"/>
              </w:rPr>
            </w:pPr>
          </w:p>
        </w:tc>
        <w:tc>
          <w:tcPr>
            <w:tcW w:w="2899" w:type="dxa"/>
            <w:vAlign w:val="center"/>
          </w:tcPr>
          <w:p w14:paraId="1A123EC0">
            <w:pPr>
              <w:wordWrap w:val="0"/>
              <w:spacing w:beforeLines="50" w:line="360" w:lineRule="auto"/>
              <w:jc w:val="center"/>
              <w:rPr>
                <w:rFonts w:ascii="宋体" w:hAnsi="宋体"/>
                <w:color w:val="000000"/>
                <w:szCs w:val="21"/>
              </w:rPr>
            </w:pPr>
            <w:r>
              <w:rPr>
                <w:rFonts w:hint="eastAsia" w:ascii="宋体" w:hAnsi="宋体"/>
                <w:color w:val="000000"/>
                <w:szCs w:val="21"/>
              </w:rPr>
              <w:t>投标有效期</w:t>
            </w:r>
          </w:p>
        </w:tc>
        <w:tc>
          <w:tcPr>
            <w:tcW w:w="5890" w:type="dxa"/>
            <w:vAlign w:val="center"/>
          </w:tcPr>
          <w:p w14:paraId="25B79C57">
            <w:pPr>
              <w:wordWrap w:val="0"/>
              <w:spacing w:beforeLines="50" w:line="360" w:lineRule="auto"/>
              <w:rPr>
                <w:rFonts w:ascii="宋体" w:hAnsi="宋体"/>
                <w:color w:val="000000"/>
                <w:szCs w:val="21"/>
              </w:rPr>
            </w:pPr>
            <w:r>
              <w:rPr>
                <w:rFonts w:hint="eastAsia" w:ascii="宋体" w:hAnsi="宋体"/>
                <w:color w:val="000000"/>
                <w:szCs w:val="21"/>
              </w:rPr>
              <w:t>符合采购文件第二章“供应商须知前附表”3.3.1项要求。</w:t>
            </w:r>
          </w:p>
        </w:tc>
      </w:tr>
      <w:tr w14:paraId="136AB9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6724E130">
            <w:pPr>
              <w:wordWrap w:val="0"/>
              <w:spacing w:beforeLines="50" w:line="360" w:lineRule="auto"/>
              <w:rPr>
                <w:rFonts w:ascii="宋体" w:hAnsi="宋体"/>
                <w:color w:val="000000"/>
                <w:szCs w:val="21"/>
              </w:rPr>
            </w:pPr>
          </w:p>
        </w:tc>
        <w:tc>
          <w:tcPr>
            <w:tcW w:w="2899" w:type="dxa"/>
            <w:vAlign w:val="center"/>
          </w:tcPr>
          <w:p w14:paraId="5CB3AE97">
            <w:pPr>
              <w:wordWrap w:val="0"/>
              <w:spacing w:beforeLines="50" w:line="360" w:lineRule="auto"/>
              <w:jc w:val="center"/>
              <w:rPr>
                <w:rFonts w:ascii="宋体" w:hAnsi="宋体"/>
                <w:color w:val="000000"/>
                <w:szCs w:val="21"/>
              </w:rPr>
            </w:pPr>
            <w:r>
              <w:rPr>
                <w:rFonts w:hint="eastAsia" w:ascii="宋体" w:hAnsi="宋体"/>
                <w:color w:val="000000"/>
                <w:szCs w:val="21"/>
              </w:rPr>
              <w:t>其他投标无效情形</w:t>
            </w:r>
          </w:p>
        </w:tc>
        <w:tc>
          <w:tcPr>
            <w:tcW w:w="5890" w:type="dxa"/>
            <w:vAlign w:val="center"/>
          </w:tcPr>
          <w:p w14:paraId="1D1128C2">
            <w:pPr>
              <w:wordWrap w:val="0"/>
              <w:spacing w:beforeLines="50" w:line="360" w:lineRule="auto"/>
              <w:rPr>
                <w:rFonts w:ascii="宋体" w:hAnsi="宋体"/>
                <w:color w:val="000000"/>
                <w:szCs w:val="21"/>
              </w:rPr>
            </w:pPr>
            <w:r>
              <w:rPr>
                <w:rFonts w:hint="eastAsia" w:ascii="宋体" w:hAnsi="宋体"/>
                <w:color w:val="000000"/>
                <w:szCs w:val="21"/>
              </w:rPr>
              <w:t>供应商存在本章“其他投标无效情形”中任意情形之一的，投标无效。</w:t>
            </w:r>
          </w:p>
        </w:tc>
      </w:tr>
      <w:tr w14:paraId="07D337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Align w:val="center"/>
          </w:tcPr>
          <w:p w14:paraId="0BDAD493">
            <w:pPr>
              <w:wordWrap w:val="0"/>
              <w:spacing w:beforeLines="50" w:line="360" w:lineRule="auto"/>
              <w:jc w:val="center"/>
              <w:rPr>
                <w:rFonts w:ascii="宋体" w:hAnsi="宋体"/>
                <w:b/>
                <w:color w:val="000000"/>
                <w:szCs w:val="21"/>
              </w:rPr>
            </w:pPr>
            <w:r>
              <w:rPr>
                <w:rFonts w:hint="eastAsia" w:ascii="宋体" w:hAnsi="宋体"/>
                <w:b/>
                <w:color w:val="000000"/>
                <w:szCs w:val="21"/>
              </w:rPr>
              <w:t>条款号</w:t>
            </w:r>
          </w:p>
        </w:tc>
        <w:tc>
          <w:tcPr>
            <w:tcW w:w="2899" w:type="dxa"/>
            <w:vAlign w:val="center"/>
          </w:tcPr>
          <w:p w14:paraId="643E3372">
            <w:pPr>
              <w:wordWrap w:val="0"/>
              <w:spacing w:beforeLines="50" w:line="360" w:lineRule="auto"/>
              <w:jc w:val="center"/>
              <w:rPr>
                <w:rFonts w:ascii="宋体" w:hAnsi="宋体"/>
                <w:b/>
                <w:color w:val="000000"/>
                <w:szCs w:val="21"/>
              </w:rPr>
            </w:pPr>
            <w:r>
              <w:rPr>
                <w:rFonts w:hint="eastAsia" w:ascii="宋体" w:hAnsi="宋体"/>
                <w:b/>
                <w:color w:val="000000"/>
                <w:szCs w:val="21"/>
              </w:rPr>
              <w:t>条款内容</w:t>
            </w:r>
          </w:p>
        </w:tc>
        <w:tc>
          <w:tcPr>
            <w:tcW w:w="5890" w:type="dxa"/>
            <w:vAlign w:val="center"/>
          </w:tcPr>
          <w:p w14:paraId="2A998FE5">
            <w:pPr>
              <w:wordWrap w:val="0"/>
              <w:spacing w:beforeLines="50" w:line="360" w:lineRule="auto"/>
              <w:jc w:val="center"/>
              <w:rPr>
                <w:rFonts w:ascii="宋体" w:hAnsi="宋体"/>
                <w:b/>
                <w:color w:val="000000"/>
                <w:szCs w:val="21"/>
              </w:rPr>
            </w:pPr>
            <w:r>
              <w:rPr>
                <w:rFonts w:hint="eastAsia" w:ascii="宋体" w:hAnsi="宋体"/>
                <w:b/>
                <w:color w:val="000000"/>
                <w:szCs w:val="21"/>
              </w:rPr>
              <w:t>编列内容</w:t>
            </w:r>
          </w:p>
        </w:tc>
      </w:tr>
      <w:tr w14:paraId="489F7F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restart"/>
            <w:vAlign w:val="center"/>
          </w:tcPr>
          <w:p w14:paraId="3E7D8531">
            <w:pPr>
              <w:wordWrap w:val="0"/>
              <w:spacing w:beforeLines="50" w:line="360" w:lineRule="auto"/>
              <w:jc w:val="center"/>
              <w:rPr>
                <w:rFonts w:ascii="宋体" w:hAnsi="宋体"/>
                <w:color w:val="000000"/>
                <w:szCs w:val="21"/>
              </w:rPr>
            </w:pPr>
            <w:r>
              <w:rPr>
                <w:rFonts w:hint="eastAsia" w:ascii="宋体" w:hAnsi="宋体"/>
                <w:color w:val="000000"/>
                <w:szCs w:val="21"/>
              </w:rPr>
              <w:t>详细评审</w:t>
            </w:r>
          </w:p>
        </w:tc>
        <w:tc>
          <w:tcPr>
            <w:tcW w:w="2899" w:type="dxa"/>
            <w:vAlign w:val="center"/>
          </w:tcPr>
          <w:p w14:paraId="068A5A41">
            <w:pPr>
              <w:wordWrap w:val="0"/>
              <w:snapToGrid w:val="0"/>
              <w:spacing w:beforeLines="50" w:line="360" w:lineRule="auto"/>
              <w:jc w:val="center"/>
              <w:rPr>
                <w:rFonts w:ascii="宋体" w:hAnsi="宋体"/>
                <w:color w:val="000000"/>
                <w:szCs w:val="21"/>
                <w:highlight w:val="yellow"/>
              </w:rPr>
            </w:pPr>
            <w:r>
              <w:rPr>
                <w:rFonts w:hint="eastAsia" w:ascii="宋体" w:hAnsi="宋体"/>
                <w:color w:val="000000"/>
                <w:szCs w:val="21"/>
              </w:rPr>
              <w:t>评标总得分计算公式</w:t>
            </w:r>
          </w:p>
        </w:tc>
        <w:tc>
          <w:tcPr>
            <w:tcW w:w="5890" w:type="dxa"/>
            <w:vAlign w:val="center"/>
          </w:tcPr>
          <w:p w14:paraId="475C2C11">
            <w:pPr>
              <w:wordWrap w:val="0"/>
              <w:snapToGrid w:val="0"/>
              <w:spacing w:beforeLines="50"/>
              <w:rPr>
                <w:rFonts w:ascii="宋体" w:hAnsi="宋体"/>
                <w:color w:val="000000"/>
                <w:szCs w:val="21"/>
                <w:highlight w:val="yellow"/>
              </w:rPr>
            </w:pPr>
            <w:r>
              <w:rPr>
                <w:rFonts w:hint="eastAsia" w:ascii="宋体" w:hAnsi="宋体"/>
                <w:color w:val="000000"/>
                <w:szCs w:val="21"/>
                <w:highlight w:val="yellow"/>
              </w:rPr>
              <w:t>评标总得分＝</w:t>
            </w:r>
            <w:r>
              <w:rPr>
                <w:rFonts w:ascii="宋体" w:hAnsi="宋体"/>
                <w:color w:val="000000"/>
                <w:szCs w:val="21"/>
                <w:highlight w:val="yellow"/>
              </w:rPr>
              <w:t>F1</w:t>
            </w:r>
            <w:r>
              <w:rPr>
                <w:rFonts w:hint="eastAsia" w:ascii="宋体" w:hAnsi="宋体"/>
                <w:color w:val="000000"/>
                <w:szCs w:val="21"/>
                <w:highlight w:val="yellow"/>
              </w:rPr>
              <w:t>＋</w:t>
            </w:r>
            <w:r>
              <w:rPr>
                <w:rFonts w:ascii="宋体" w:hAnsi="宋体"/>
                <w:color w:val="000000"/>
                <w:szCs w:val="21"/>
                <w:highlight w:val="yellow"/>
              </w:rPr>
              <w:t>F2</w:t>
            </w:r>
            <w:r>
              <w:rPr>
                <w:rFonts w:hint="eastAsia" w:ascii="宋体" w:hAnsi="宋体"/>
                <w:color w:val="000000"/>
                <w:szCs w:val="21"/>
                <w:highlight w:val="yellow"/>
              </w:rPr>
              <w:t>其中：</w:t>
            </w:r>
          </w:p>
          <w:p w14:paraId="703D7D52">
            <w:pPr>
              <w:wordWrap w:val="0"/>
              <w:snapToGrid w:val="0"/>
              <w:spacing w:beforeLines="50"/>
              <w:rPr>
                <w:rFonts w:ascii="宋体" w:hAnsi="宋体"/>
                <w:color w:val="000000"/>
                <w:szCs w:val="21"/>
                <w:highlight w:val="yellow"/>
              </w:rPr>
            </w:pPr>
            <w:r>
              <w:rPr>
                <w:rFonts w:hint="eastAsia" w:ascii="宋体" w:hAnsi="宋体"/>
                <w:color w:val="000000"/>
                <w:szCs w:val="21"/>
                <w:highlight w:val="yellow"/>
              </w:rPr>
              <w:t>F1、F2分别为各项评审因素的得分。</w:t>
            </w:r>
          </w:p>
        </w:tc>
      </w:tr>
      <w:tr w14:paraId="01E6E0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6EC42376">
            <w:pPr>
              <w:wordWrap w:val="0"/>
              <w:spacing w:beforeLines="50" w:line="360" w:lineRule="auto"/>
              <w:jc w:val="center"/>
              <w:rPr>
                <w:rFonts w:ascii="宋体" w:hAnsi="宋体"/>
                <w:color w:val="000000"/>
                <w:szCs w:val="21"/>
              </w:rPr>
            </w:pPr>
          </w:p>
        </w:tc>
        <w:tc>
          <w:tcPr>
            <w:tcW w:w="2899" w:type="dxa"/>
            <w:vAlign w:val="center"/>
          </w:tcPr>
          <w:p w14:paraId="60D23205">
            <w:pPr>
              <w:wordWrap w:val="0"/>
              <w:snapToGrid w:val="0"/>
              <w:spacing w:beforeLines="50" w:line="360" w:lineRule="auto"/>
              <w:jc w:val="center"/>
              <w:rPr>
                <w:rFonts w:ascii="宋体" w:hAnsi="宋体"/>
                <w:color w:val="000000"/>
                <w:szCs w:val="21"/>
              </w:rPr>
            </w:pPr>
            <w:r>
              <w:rPr>
                <w:rFonts w:hint="eastAsia" w:ascii="宋体" w:hAnsi="宋体"/>
                <w:bCs/>
                <w:color w:val="000000"/>
                <w:szCs w:val="21"/>
              </w:rPr>
              <w:t>评分因素权重</w:t>
            </w:r>
          </w:p>
        </w:tc>
        <w:tc>
          <w:tcPr>
            <w:tcW w:w="5890" w:type="dxa"/>
            <w:vAlign w:val="center"/>
          </w:tcPr>
          <w:p w14:paraId="29526306">
            <w:pPr>
              <w:wordWrap w:val="0"/>
              <w:snapToGrid w:val="0"/>
              <w:spacing w:beforeLines="50"/>
              <w:rPr>
                <w:rFonts w:ascii="宋体" w:hAnsi="宋体"/>
                <w:color w:val="000000"/>
                <w:szCs w:val="21"/>
              </w:rPr>
            </w:pPr>
            <w:r>
              <w:rPr>
                <w:rFonts w:hint="eastAsia" w:ascii="宋体" w:hAnsi="宋体"/>
                <w:color w:val="000000"/>
                <w:szCs w:val="21"/>
              </w:rPr>
              <w:t>报价部分F</w:t>
            </w:r>
            <w:r>
              <w:rPr>
                <w:rFonts w:ascii="宋体" w:hAnsi="宋体"/>
                <w:color w:val="000000"/>
                <w:szCs w:val="21"/>
              </w:rPr>
              <w:t>1</w:t>
            </w:r>
            <w:r>
              <w:rPr>
                <w:rFonts w:hint="eastAsia" w:ascii="宋体" w:hAnsi="宋体"/>
                <w:color w:val="000000"/>
                <w:szCs w:val="21"/>
              </w:rPr>
              <w:t>：满分30分；</w:t>
            </w:r>
          </w:p>
          <w:p w14:paraId="7923EB4C">
            <w:pPr>
              <w:wordWrap w:val="0"/>
              <w:snapToGrid w:val="0"/>
              <w:spacing w:beforeLines="50"/>
              <w:rPr>
                <w:rFonts w:ascii="宋体" w:hAnsi="宋体"/>
                <w:bCs/>
                <w:color w:val="000000"/>
                <w:szCs w:val="21"/>
              </w:rPr>
            </w:pPr>
            <w:r>
              <w:rPr>
                <w:rFonts w:hint="eastAsia" w:ascii="宋体" w:hAnsi="宋体"/>
                <w:color w:val="000000"/>
                <w:szCs w:val="21"/>
              </w:rPr>
              <w:t>技术部分F</w:t>
            </w:r>
            <w:r>
              <w:rPr>
                <w:rFonts w:ascii="宋体" w:hAnsi="宋体"/>
                <w:color w:val="000000"/>
                <w:szCs w:val="21"/>
              </w:rPr>
              <w:t>2</w:t>
            </w:r>
            <w:r>
              <w:rPr>
                <w:rFonts w:hint="eastAsia" w:ascii="宋体" w:hAnsi="宋体"/>
                <w:color w:val="000000"/>
                <w:szCs w:val="21"/>
              </w:rPr>
              <w:t>：满分70分。</w:t>
            </w:r>
          </w:p>
        </w:tc>
      </w:tr>
      <w:tr w14:paraId="63C27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2C6AFB9B">
            <w:pPr>
              <w:wordWrap w:val="0"/>
              <w:spacing w:beforeLines="50" w:line="360" w:lineRule="auto"/>
              <w:jc w:val="center"/>
              <w:rPr>
                <w:rFonts w:ascii="宋体" w:hAnsi="宋体"/>
                <w:color w:val="000000"/>
                <w:szCs w:val="21"/>
              </w:rPr>
            </w:pPr>
          </w:p>
        </w:tc>
        <w:tc>
          <w:tcPr>
            <w:tcW w:w="2899" w:type="dxa"/>
            <w:vAlign w:val="center"/>
          </w:tcPr>
          <w:p w14:paraId="3636020C">
            <w:pPr>
              <w:wordWrap w:val="0"/>
              <w:snapToGrid w:val="0"/>
              <w:spacing w:beforeLines="50" w:line="360" w:lineRule="auto"/>
              <w:jc w:val="center"/>
              <w:rPr>
                <w:rFonts w:ascii="宋体" w:hAnsi="宋体"/>
                <w:b/>
                <w:color w:val="000000"/>
                <w:szCs w:val="21"/>
              </w:rPr>
            </w:pPr>
            <w:r>
              <w:rPr>
                <w:rFonts w:hint="eastAsia" w:ascii="宋体" w:hAnsi="宋体"/>
                <w:b/>
                <w:bCs/>
                <w:color w:val="000000"/>
                <w:szCs w:val="21"/>
              </w:rPr>
              <w:t>投标报价部分评审</w:t>
            </w:r>
          </w:p>
        </w:tc>
        <w:tc>
          <w:tcPr>
            <w:tcW w:w="5890" w:type="dxa"/>
            <w:vAlign w:val="center"/>
          </w:tcPr>
          <w:p w14:paraId="229F961A">
            <w:pPr>
              <w:wordWrap w:val="0"/>
              <w:snapToGrid w:val="0"/>
              <w:spacing w:beforeLines="50" w:line="360" w:lineRule="auto"/>
              <w:jc w:val="center"/>
              <w:rPr>
                <w:rFonts w:ascii="宋体" w:hAnsi="宋体"/>
                <w:b/>
                <w:color w:val="000000"/>
                <w:szCs w:val="21"/>
              </w:rPr>
            </w:pPr>
            <w:r>
              <w:rPr>
                <w:rFonts w:hint="eastAsia" w:ascii="宋体" w:hAnsi="宋体"/>
                <w:b/>
                <w:bCs/>
                <w:color w:val="000000"/>
                <w:szCs w:val="21"/>
              </w:rPr>
              <w:t>F1＝30分</w:t>
            </w:r>
          </w:p>
        </w:tc>
      </w:tr>
      <w:tr w14:paraId="38AD8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4D0D0E71">
            <w:pPr>
              <w:wordWrap w:val="0"/>
              <w:spacing w:beforeLines="50" w:line="360" w:lineRule="auto"/>
              <w:jc w:val="center"/>
              <w:rPr>
                <w:rFonts w:ascii="宋体" w:hAnsi="宋体"/>
                <w:color w:val="000000"/>
                <w:szCs w:val="21"/>
              </w:rPr>
            </w:pPr>
          </w:p>
        </w:tc>
        <w:tc>
          <w:tcPr>
            <w:tcW w:w="2899" w:type="dxa"/>
            <w:vAlign w:val="center"/>
          </w:tcPr>
          <w:p w14:paraId="24352CF4">
            <w:pPr>
              <w:wordWrap w:val="0"/>
              <w:snapToGrid w:val="0"/>
              <w:spacing w:beforeLines="50" w:line="360" w:lineRule="auto"/>
              <w:jc w:val="center"/>
              <w:rPr>
                <w:rFonts w:ascii="宋体" w:hAnsi="宋体"/>
                <w:bCs/>
                <w:color w:val="000000"/>
                <w:szCs w:val="21"/>
              </w:rPr>
            </w:pPr>
            <w:r>
              <w:rPr>
                <w:rFonts w:hint="eastAsia" w:ascii="宋体" w:hAnsi="宋体"/>
                <w:bCs/>
                <w:color w:val="000000"/>
                <w:szCs w:val="21"/>
              </w:rPr>
              <w:t>投标报价评审</w:t>
            </w:r>
          </w:p>
          <w:p w14:paraId="6EE61466">
            <w:pPr>
              <w:wordWrap w:val="0"/>
              <w:snapToGrid w:val="0"/>
              <w:spacing w:beforeLines="50" w:line="360" w:lineRule="auto"/>
              <w:jc w:val="center"/>
              <w:rPr>
                <w:rFonts w:ascii="宋体" w:hAnsi="宋体"/>
                <w:color w:val="000000"/>
                <w:szCs w:val="21"/>
              </w:rPr>
            </w:pPr>
            <w:r>
              <w:rPr>
                <w:rFonts w:hint="eastAsia" w:ascii="宋体" w:hAnsi="宋体"/>
                <w:bCs/>
                <w:color w:val="000000"/>
                <w:szCs w:val="21"/>
              </w:rPr>
              <w:t>（30分）</w:t>
            </w:r>
          </w:p>
        </w:tc>
        <w:tc>
          <w:tcPr>
            <w:tcW w:w="5890" w:type="dxa"/>
            <w:vAlign w:val="center"/>
          </w:tcPr>
          <w:p w14:paraId="65016784">
            <w:pPr>
              <w:adjustRightInd w:val="0"/>
              <w:snapToGrid w:val="0"/>
              <w:spacing w:line="360" w:lineRule="auto"/>
              <w:rPr>
                <w:rFonts w:ascii="宋体" w:hAnsi="宋体"/>
                <w:b/>
                <w:color w:val="000000"/>
                <w:szCs w:val="21"/>
              </w:rPr>
            </w:pPr>
            <w:r>
              <w:rPr>
                <w:rFonts w:hint="eastAsia" w:ascii="宋体" w:hAnsi="宋体"/>
                <w:b/>
                <w:color w:val="000000"/>
                <w:szCs w:val="21"/>
              </w:rPr>
              <w:t>F1＝（评标基准价/投标报价）×30</w:t>
            </w:r>
          </w:p>
          <w:p w14:paraId="2E738173">
            <w:pPr>
              <w:adjustRightInd w:val="0"/>
              <w:snapToGrid w:val="0"/>
              <w:spacing w:line="360" w:lineRule="auto"/>
              <w:rPr>
                <w:rFonts w:ascii="宋体" w:hAnsi="宋体"/>
                <w:b/>
                <w:bCs/>
                <w:color w:val="000000"/>
                <w:szCs w:val="21"/>
              </w:rPr>
            </w:pPr>
            <w:r>
              <w:rPr>
                <w:rFonts w:hint="eastAsia" w:ascii="宋体" w:hAnsi="宋体"/>
                <w:b/>
                <w:bCs/>
                <w:color w:val="000000"/>
                <w:szCs w:val="21"/>
              </w:rPr>
              <w:t>评标基准价为通过资格评审和符合性评审且投标报价最低的投标报价为评标基准价，其价格分为满分。</w:t>
            </w:r>
          </w:p>
          <w:p w14:paraId="6251CBE6">
            <w:pPr>
              <w:adjustRightInd w:val="0"/>
              <w:snapToGrid w:val="0"/>
              <w:spacing w:line="360" w:lineRule="auto"/>
              <w:rPr>
                <w:color w:val="000000"/>
              </w:rPr>
            </w:pPr>
            <w:r>
              <w:rPr>
                <w:rFonts w:hint="eastAsia" w:ascii="宋体" w:hAnsi="宋体"/>
                <w:b/>
                <w:color w:val="000000"/>
                <w:szCs w:val="21"/>
              </w:rPr>
              <w:t>备注：根据《政府采购促进中小企业发展管理办法》（财库[2020]46号)、《财政部关于进一步加大政府采购支持中小企业力度的通知》（财库[2022]19号)。</w:t>
            </w:r>
          </w:p>
        </w:tc>
      </w:tr>
      <w:tr w14:paraId="75ADC7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212380EC">
            <w:pPr>
              <w:wordWrap w:val="0"/>
              <w:spacing w:beforeLines="50" w:line="360" w:lineRule="auto"/>
              <w:jc w:val="center"/>
              <w:rPr>
                <w:rFonts w:ascii="宋体" w:hAnsi="宋体"/>
                <w:color w:val="000000"/>
                <w:szCs w:val="21"/>
              </w:rPr>
            </w:pPr>
          </w:p>
        </w:tc>
        <w:tc>
          <w:tcPr>
            <w:tcW w:w="2899" w:type="dxa"/>
            <w:vAlign w:val="center"/>
          </w:tcPr>
          <w:p w14:paraId="1E9FA322">
            <w:pPr>
              <w:wordWrap w:val="0"/>
              <w:snapToGrid w:val="0"/>
              <w:spacing w:beforeLines="50" w:line="360" w:lineRule="auto"/>
              <w:jc w:val="center"/>
              <w:rPr>
                <w:rFonts w:ascii="宋体" w:hAnsi="宋体"/>
                <w:b/>
                <w:color w:val="000000"/>
                <w:szCs w:val="21"/>
              </w:rPr>
            </w:pPr>
            <w:r>
              <w:rPr>
                <w:rFonts w:hint="eastAsia" w:ascii="宋体" w:hAnsi="宋体"/>
                <w:b/>
                <w:bCs/>
                <w:color w:val="000000"/>
                <w:szCs w:val="21"/>
              </w:rPr>
              <w:t>技术部分评审</w:t>
            </w:r>
          </w:p>
        </w:tc>
        <w:tc>
          <w:tcPr>
            <w:tcW w:w="5890" w:type="dxa"/>
            <w:vAlign w:val="center"/>
          </w:tcPr>
          <w:p w14:paraId="79F7D0B1">
            <w:pPr>
              <w:wordWrap w:val="0"/>
              <w:snapToGrid w:val="0"/>
              <w:spacing w:beforeLines="50" w:line="360" w:lineRule="auto"/>
              <w:jc w:val="center"/>
              <w:rPr>
                <w:rFonts w:ascii="宋体" w:hAnsi="宋体"/>
                <w:b/>
                <w:color w:val="000000"/>
                <w:szCs w:val="21"/>
              </w:rPr>
            </w:pPr>
            <w:r>
              <w:rPr>
                <w:rFonts w:hint="eastAsia" w:ascii="宋体" w:hAnsi="宋体"/>
                <w:b/>
                <w:bCs/>
                <w:color w:val="000000"/>
                <w:szCs w:val="21"/>
              </w:rPr>
              <w:t>F2＝70分</w:t>
            </w:r>
          </w:p>
        </w:tc>
      </w:tr>
      <w:tr w14:paraId="3BFCB1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3EAD3652">
            <w:pPr>
              <w:wordWrap w:val="0"/>
              <w:spacing w:beforeLines="50" w:line="360" w:lineRule="auto"/>
              <w:jc w:val="center"/>
              <w:rPr>
                <w:rFonts w:ascii="宋体" w:hAnsi="宋体"/>
                <w:color w:val="000000"/>
                <w:szCs w:val="21"/>
              </w:rPr>
            </w:pPr>
          </w:p>
        </w:tc>
        <w:tc>
          <w:tcPr>
            <w:tcW w:w="2899" w:type="dxa"/>
            <w:vAlign w:val="center"/>
          </w:tcPr>
          <w:p w14:paraId="0CCBB756">
            <w:pPr>
              <w:pStyle w:val="9"/>
              <w:spacing w:line="360" w:lineRule="auto"/>
              <w:jc w:val="center"/>
              <w:rPr>
                <w:color w:val="000000"/>
              </w:rPr>
            </w:pPr>
            <w:r>
              <w:rPr>
                <w:rFonts w:hint="eastAsia" w:ascii="宋体" w:hAnsi="宋体"/>
                <w:color w:val="000000"/>
                <w:sz w:val="21"/>
                <w:szCs w:val="21"/>
              </w:rPr>
              <w:t>技术方案（满分30分）</w:t>
            </w:r>
          </w:p>
        </w:tc>
        <w:tc>
          <w:tcPr>
            <w:tcW w:w="5890" w:type="dxa"/>
            <w:vAlign w:val="center"/>
          </w:tcPr>
          <w:p w14:paraId="3EF1AE09">
            <w:pPr>
              <w:adjustRightInd w:val="0"/>
              <w:snapToGrid w:val="0"/>
              <w:spacing w:line="360" w:lineRule="auto"/>
              <w:rPr>
                <w:rFonts w:ascii="宋体" w:hAnsi="宋体"/>
                <w:bCs/>
                <w:color w:val="000000"/>
                <w:szCs w:val="21"/>
              </w:rPr>
            </w:pPr>
            <w:r>
              <w:rPr>
                <w:rFonts w:hint="eastAsia" w:ascii="宋体" w:hAnsi="宋体"/>
                <w:bCs/>
                <w:color w:val="000000"/>
                <w:szCs w:val="21"/>
              </w:rPr>
              <w:t>（1）投标人的技术方案具有较强的针对性、可行性、合理性，能充分指导本项目的服务工作的得20-30分；</w:t>
            </w:r>
          </w:p>
          <w:p w14:paraId="2F51F6E3">
            <w:pPr>
              <w:adjustRightInd w:val="0"/>
              <w:snapToGrid w:val="0"/>
              <w:spacing w:line="360" w:lineRule="auto"/>
              <w:rPr>
                <w:rFonts w:ascii="宋体" w:hAnsi="宋体"/>
                <w:bCs/>
                <w:color w:val="000000"/>
                <w:szCs w:val="21"/>
              </w:rPr>
            </w:pPr>
            <w:r>
              <w:rPr>
                <w:rFonts w:hint="eastAsia" w:ascii="宋体" w:hAnsi="宋体"/>
                <w:bCs/>
                <w:color w:val="000000"/>
                <w:szCs w:val="21"/>
              </w:rPr>
              <w:t>（2）投标人的技术方案具有一定的针对性、可行性、合理性，基本能指导本项目的服务工作的得10-19分；</w:t>
            </w:r>
          </w:p>
          <w:p w14:paraId="0B321B9E">
            <w:pPr>
              <w:adjustRightInd w:val="0"/>
              <w:snapToGrid w:val="0"/>
              <w:spacing w:line="360" w:lineRule="auto"/>
              <w:rPr>
                <w:rFonts w:ascii="宋体" w:hAnsi="宋体"/>
                <w:bCs/>
                <w:color w:val="000000"/>
                <w:szCs w:val="21"/>
              </w:rPr>
            </w:pPr>
            <w:r>
              <w:rPr>
                <w:rFonts w:hint="eastAsia" w:ascii="宋体" w:hAnsi="宋体"/>
                <w:bCs/>
                <w:color w:val="000000"/>
                <w:szCs w:val="21"/>
              </w:rPr>
              <w:t>（3）投标人的技术方案在针对性、可行性、合理性等方面存在缺陷的，根据情况酌情给1-9分；</w:t>
            </w:r>
          </w:p>
          <w:p w14:paraId="7155CF55">
            <w:pPr>
              <w:pStyle w:val="9"/>
              <w:adjustRightInd w:val="0"/>
              <w:snapToGrid w:val="0"/>
              <w:spacing w:line="360" w:lineRule="auto"/>
              <w:rPr>
                <w:color w:val="000000"/>
              </w:rPr>
            </w:pPr>
            <w:r>
              <w:rPr>
                <w:rFonts w:hint="eastAsia" w:ascii="宋体" w:hAnsi="宋体"/>
                <w:bCs/>
                <w:color w:val="000000"/>
                <w:sz w:val="21"/>
                <w:szCs w:val="21"/>
              </w:rPr>
              <w:t>（4）无技术方案的得0分。</w:t>
            </w:r>
          </w:p>
        </w:tc>
      </w:tr>
      <w:tr w14:paraId="2A3D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7F3A9524">
            <w:pPr>
              <w:wordWrap w:val="0"/>
              <w:spacing w:beforeLines="50" w:line="360" w:lineRule="auto"/>
              <w:jc w:val="center"/>
              <w:rPr>
                <w:rFonts w:ascii="宋体" w:hAnsi="宋体"/>
                <w:color w:val="000000"/>
                <w:szCs w:val="21"/>
              </w:rPr>
            </w:pPr>
          </w:p>
        </w:tc>
        <w:tc>
          <w:tcPr>
            <w:tcW w:w="2899" w:type="dxa"/>
            <w:vAlign w:val="center"/>
          </w:tcPr>
          <w:p w14:paraId="0918DF11">
            <w:pPr>
              <w:pStyle w:val="9"/>
              <w:spacing w:line="360" w:lineRule="auto"/>
              <w:jc w:val="center"/>
              <w:rPr>
                <w:color w:val="000000"/>
              </w:rPr>
            </w:pPr>
            <w:r>
              <w:rPr>
                <w:rFonts w:hint="eastAsia" w:ascii="宋体" w:hAnsi="宋体"/>
                <w:color w:val="000000"/>
                <w:sz w:val="21"/>
                <w:szCs w:val="21"/>
              </w:rPr>
              <w:t>项目管理人员配置（满分15分）</w:t>
            </w:r>
          </w:p>
        </w:tc>
        <w:tc>
          <w:tcPr>
            <w:tcW w:w="5890" w:type="dxa"/>
            <w:vAlign w:val="center"/>
          </w:tcPr>
          <w:p w14:paraId="2EDCAF7F">
            <w:pPr>
              <w:wordWrap w:val="0"/>
              <w:adjustRightInd w:val="0"/>
              <w:snapToGrid w:val="0"/>
              <w:spacing w:line="360" w:lineRule="auto"/>
              <w:rPr>
                <w:rFonts w:ascii="宋体" w:hAnsi="宋体"/>
                <w:bCs/>
                <w:color w:val="000000"/>
                <w:szCs w:val="21"/>
              </w:rPr>
            </w:pPr>
            <w:r>
              <w:rPr>
                <w:rFonts w:hint="eastAsia" w:ascii="宋体" w:hAnsi="宋体"/>
                <w:bCs/>
                <w:color w:val="000000"/>
                <w:szCs w:val="21"/>
              </w:rPr>
              <w:t>（1）项目组织管理人员配备较完善，针对性强，有科学严谨的管理程序，主要人员的专业配置合理齐全的得11-15分；项目管理人员中具备至少1名注册测绘工程师的加2分。</w:t>
            </w:r>
          </w:p>
          <w:p w14:paraId="1AD58838">
            <w:pPr>
              <w:wordWrap w:val="0"/>
              <w:adjustRightInd w:val="0"/>
              <w:snapToGrid w:val="0"/>
              <w:spacing w:line="360" w:lineRule="auto"/>
              <w:rPr>
                <w:rFonts w:ascii="宋体" w:hAnsi="宋体"/>
                <w:bCs/>
                <w:color w:val="000000"/>
                <w:szCs w:val="21"/>
              </w:rPr>
            </w:pPr>
            <w:r>
              <w:rPr>
                <w:rFonts w:hint="eastAsia" w:ascii="宋体" w:hAnsi="宋体"/>
                <w:bCs/>
                <w:color w:val="000000"/>
                <w:szCs w:val="21"/>
              </w:rPr>
              <w:t>（2）项目组织管理人员配备完善，有一定的针对性，有一定的管理程序，主要人员的专业配置基本合理的得6-10分，项目管理人员中具备至少1名注册测绘工程师的加2分。</w:t>
            </w:r>
          </w:p>
          <w:p w14:paraId="699FB3FF">
            <w:pPr>
              <w:wordWrap w:val="0"/>
              <w:adjustRightInd w:val="0"/>
              <w:snapToGrid w:val="0"/>
              <w:spacing w:line="360" w:lineRule="auto"/>
              <w:rPr>
                <w:rFonts w:ascii="宋体" w:hAnsi="宋体"/>
                <w:bCs/>
                <w:color w:val="000000"/>
                <w:szCs w:val="21"/>
              </w:rPr>
            </w:pPr>
            <w:r>
              <w:rPr>
                <w:rFonts w:hint="eastAsia" w:ascii="宋体" w:hAnsi="宋体"/>
                <w:bCs/>
                <w:color w:val="000000"/>
                <w:szCs w:val="21"/>
              </w:rPr>
              <w:t>（3）项目组织管理人员配备不完善或有缺陷，无针对性，管理程序不清晰，主要人员的专业配置有缺陷的得1-5分，项目管理人员中具备至少1名注册测绘工程师的加2分。</w:t>
            </w:r>
          </w:p>
          <w:p w14:paraId="161CBAB3">
            <w:pPr>
              <w:wordWrap w:val="0"/>
              <w:adjustRightInd w:val="0"/>
              <w:snapToGrid w:val="0"/>
              <w:spacing w:line="360" w:lineRule="auto"/>
              <w:rPr>
                <w:rFonts w:ascii="宋体" w:hAnsi="宋体"/>
                <w:bCs/>
                <w:color w:val="000000"/>
                <w:szCs w:val="21"/>
              </w:rPr>
            </w:pPr>
            <w:r>
              <w:rPr>
                <w:rFonts w:hint="eastAsia" w:ascii="宋体" w:hAnsi="宋体"/>
                <w:bCs/>
                <w:color w:val="000000"/>
                <w:szCs w:val="21"/>
              </w:rPr>
              <w:t>（4）无项目人员配置的得0分。</w:t>
            </w:r>
          </w:p>
        </w:tc>
      </w:tr>
      <w:tr w14:paraId="11A3F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6" w:type="dxa"/>
            <w:vMerge w:val="continue"/>
            <w:vAlign w:val="center"/>
          </w:tcPr>
          <w:p w14:paraId="02E08CA9">
            <w:pPr>
              <w:wordWrap w:val="0"/>
              <w:spacing w:beforeLines="50" w:line="360" w:lineRule="auto"/>
              <w:jc w:val="center"/>
              <w:rPr>
                <w:rFonts w:ascii="宋体" w:hAnsi="宋体"/>
                <w:color w:val="000000"/>
                <w:szCs w:val="21"/>
              </w:rPr>
            </w:pPr>
          </w:p>
        </w:tc>
        <w:tc>
          <w:tcPr>
            <w:tcW w:w="2899" w:type="dxa"/>
            <w:vAlign w:val="center"/>
          </w:tcPr>
          <w:p w14:paraId="4C349999">
            <w:pPr>
              <w:pStyle w:val="9"/>
              <w:spacing w:line="360" w:lineRule="auto"/>
              <w:jc w:val="center"/>
              <w:rPr>
                <w:color w:val="000000"/>
              </w:rPr>
            </w:pPr>
            <w:r>
              <w:rPr>
                <w:rFonts w:hint="eastAsia" w:ascii="宋体" w:hAnsi="宋体"/>
                <w:color w:val="000000"/>
                <w:sz w:val="21"/>
                <w:szCs w:val="21"/>
              </w:rPr>
              <w:t>服务质量保障及承诺（满分25分）</w:t>
            </w:r>
          </w:p>
        </w:tc>
        <w:tc>
          <w:tcPr>
            <w:tcW w:w="5890" w:type="dxa"/>
            <w:vAlign w:val="center"/>
          </w:tcPr>
          <w:p w14:paraId="57762105">
            <w:pPr>
              <w:wordWrap w:val="0"/>
              <w:adjustRightInd w:val="0"/>
              <w:snapToGrid w:val="0"/>
              <w:spacing w:line="360" w:lineRule="auto"/>
              <w:rPr>
                <w:rFonts w:ascii="宋体" w:hAnsi="宋体"/>
                <w:bCs/>
                <w:color w:val="000000"/>
                <w:szCs w:val="21"/>
              </w:rPr>
            </w:pPr>
            <w:r>
              <w:rPr>
                <w:rFonts w:hint="eastAsia" w:ascii="宋体" w:hAnsi="宋体"/>
                <w:bCs/>
                <w:color w:val="000000"/>
                <w:szCs w:val="21"/>
              </w:rPr>
              <w:t>（1）服务质量保证体系健全，安排科学，保证措施有力，有具体的质量违约责任承诺得20-25分；</w:t>
            </w:r>
          </w:p>
          <w:p w14:paraId="6663AAB1">
            <w:pPr>
              <w:wordWrap w:val="0"/>
              <w:adjustRightInd w:val="0"/>
              <w:snapToGrid w:val="0"/>
              <w:spacing w:line="360" w:lineRule="auto"/>
              <w:rPr>
                <w:rFonts w:ascii="宋体" w:hAnsi="宋体"/>
                <w:bCs/>
                <w:color w:val="000000"/>
                <w:szCs w:val="21"/>
              </w:rPr>
            </w:pPr>
            <w:r>
              <w:rPr>
                <w:rFonts w:hint="eastAsia" w:ascii="宋体" w:hAnsi="宋体"/>
                <w:bCs/>
                <w:color w:val="000000"/>
                <w:szCs w:val="21"/>
              </w:rPr>
              <w:t>（2）服务质量保证体系健全，安排基本合理，保证措施基本合理，有质量违约责任承诺但不具体得10-19分；</w:t>
            </w:r>
          </w:p>
          <w:p w14:paraId="51ACE7A0">
            <w:pPr>
              <w:wordWrap w:val="0"/>
              <w:adjustRightInd w:val="0"/>
              <w:snapToGrid w:val="0"/>
              <w:spacing w:line="360" w:lineRule="auto"/>
              <w:rPr>
                <w:rFonts w:ascii="宋体" w:hAnsi="宋体"/>
                <w:bCs/>
                <w:color w:val="000000"/>
                <w:szCs w:val="21"/>
              </w:rPr>
            </w:pPr>
            <w:r>
              <w:rPr>
                <w:rFonts w:hint="eastAsia" w:ascii="宋体" w:hAnsi="宋体"/>
                <w:bCs/>
                <w:color w:val="000000"/>
                <w:szCs w:val="21"/>
              </w:rPr>
              <w:t>（3）服务质量保证体系一般，安排基本合理，保证措施基本合理，无质量违约责任承诺得1-9分；</w:t>
            </w:r>
          </w:p>
          <w:p w14:paraId="05FD9EE2">
            <w:pPr>
              <w:wordWrap w:val="0"/>
              <w:adjustRightInd w:val="0"/>
              <w:snapToGrid w:val="0"/>
              <w:spacing w:line="360" w:lineRule="auto"/>
              <w:rPr>
                <w:rFonts w:ascii="宋体" w:hAnsi="宋体"/>
                <w:bCs/>
                <w:color w:val="000000"/>
                <w:szCs w:val="21"/>
              </w:rPr>
            </w:pPr>
            <w:r>
              <w:rPr>
                <w:rFonts w:hint="eastAsia" w:ascii="宋体" w:hAnsi="宋体"/>
                <w:bCs/>
                <w:color w:val="000000"/>
                <w:szCs w:val="21"/>
              </w:rPr>
              <w:t>（4）无服务质量保障及承诺的得0分。</w:t>
            </w:r>
          </w:p>
        </w:tc>
      </w:tr>
    </w:tbl>
    <w:p w14:paraId="0D2C07F8">
      <w:pPr>
        <w:pStyle w:val="11"/>
        <w:spacing w:line="500" w:lineRule="exact"/>
        <w:ind w:left="0" w:firstLine="480" w:firstLineChars="200"/>
        <w:rPr>
          <w:rFonts w:ascii="仿宋" w:hAnsi="仿宋" w:eastAsia="仿宋" w:cs="仿宋"/>
          <w:b/>
          <w:bCs/>
          <w:szCs w:val="24"/>
        </w:rPr>
      </w:pPr>
    </w:p>
    <w:p w14:paraId="73E09E99"/>
    <w:p w14:paraId="442D9332">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1.评委应首先对各供应商响应文件进行评审，写出书面意见并按采购文件规定分值评分，各分档评分中间不得用插入法评分。</w:t>
      </w:r>
    </w:p>
    <w:p w14:paraId="3B76A3E1">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2.除投标价格得分（F</w:t>
      </w:r>
      <w:r>
        <w:rPr>
          <w:rFonts w:hint="eastAsia" w:ascii="仿宋" w:hAnsi="仿宋" w:eastAsia="仿宋" w:cs="仿宋"/>
          <w:szCs w:val="24"/>
          <w:vertAlign w:val="subscript"/>
        </w:rPr>
        <w:t>1</w:t>
      </w:r>
      <w:r>
        <w:rPr>
          <w:rFonts w:hint="eastAsia" w:ascii="仿宋" w:hAnsi="仿宋" w:eastAsia="仿宋" w:cs="仿宋"/>
          <w:szCs w:val="24"/>
        </w:rPr>
        <w:t>）外，其余部分由各评委自主评分并签字确认。</w:t>
      </w:r>
    </w:p>
    <w:p w14:paraId="246ADCA1">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3.统分原则：计算评委打分的算术平均值为供应商的该项评分因素的得分，投标报价得分除外（保留小数点后两位）。</w:t>
      </w:r>
    </w:p>
    <w:p w14:paraId="397CC7D1">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4.得分汇总：各项评分因素得分的总和即为供应商最后得分。</w:t>
      </w:r>
    </w:p>
    <w:p w14:paraId="4315C5B2">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5.经评标委员会认定评分畸高、畸低的，评标委员会应当当场修改评标结果，并在评标报告中记载。</w:t>
      </w:r>
    </w:p>
    <w:p w14:paraId="1753A0A4">
      <w:pPr>
        <w:spacing w:line="500" w:lineRule="exact"/>
        <w:ind w:firstLine="480" w:firstLineChars="200"/>
        <w:outlineLvl w:val="1"/>
        <w:rPr>
          <w:rFonts w:ascii="仿宋" w:hAnsi="仿宋" w:eastAsia="仿宋" w:cs="仿宋"/>
          <w:b/>
          <w:bCs/>
          <w:sz w:val="24"/>
          <w:szCs w:val="24"/>
        </w:rPr>
      </w:pPr>
      <w:bookmarkStart w:id="139" w:name="_Toc15881"/>
      <w:bookmarkStart w:id="140" w:name="_Toc26906"/>
      <w:r>
        <w:rPr>
          <w:rFonts w:hint="eastAsia" w:ascii="仿宋" w:hAnsi="仿宋" w:eastAsia="仿宋" w:cs="仿宋"/>
          <w:b/>
          <w:bCs/>
          <w:sz w:val="24"/>
          <w:szCs w:val="24"/>
        </w:rPr>
        <w:t>七、推荐</w:t>
      </w:r>
      <w:bookmarkEnd w:id="139"/>
      <w:bookmarkEnd w:id="140"/>
    </w:p>
    <w:p w14:paraId="52BB66CB">
      <w:pPr>
        <w:autoSpaceDE w:val="0"/>
        <w:autoSpaceDN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评标委员会按各评分因素得分汇总计算出各供应商的总得分，评标结果按评审后总得分由高到低顺序排列。响应文件满足采购文件全部实质性要求，且按照评审因素的量化指标评审总得分最高的供应商为排名第一的中标候选人。总得分相同的，按投标总报价由低到高顺序排列。得分且投标总报价相同的，若存在节能环保产品参与投标，根据《中华人民共和国政府采购法》、《中华人民共和国政府采购法实施条例》、《</w:t>
      </w:r>
      <w:r>
        <w:rPr>
          <w:rFonts w:hint="eastAsia" w:ascii="仿宋" w:hAnsi="仿宋" w:eastAsia="仿宋" w:cs="仿宋"/>
          <w:color w:val="0000FF"/>
          <w:sz w:val="24"/>
          <w:szCs w:val="24"/>
        </w:rPr>
        <w:t>政府采购货物和服务招标投标管理办法</w:t>
      </w:r>
      <w:r>
        <w:rPr>
          <w:rFonts w:hint="eastAsia" w:ascii="仿宋" w:hAnsi="仿宋" w:eastAsia="仿宋" w:cs="仿宋"/>
          <w:sz w:val="24"/>
          <w:szCs w:val="24"/>
        </w:rPr>
        <w:t>》(财政部令第87号)的规定，优先采购节能环保产品。若不存在节能环保产品参与投标，按</w:t>
      </w:r>
      <w:r>
        <w:rPr>
          <w:rFonts w:hint="eastAsia" w:ascii="仿宋" w:hAnsi="仿宋" w:eastAsia="仿宋" w:cs="仿宋"/>
          <w:bCs/>
          <w:spacing w:val="6"/>
          <w:sz w:val="24"/>
          <w:szCs w:val="24"/>
        </w:rPr>
        <w:t>F</w:t>
      </w:r>
      <w:r>
        <w:rPr>
          <w:rFonts w:hint="eastAsia" w:ascii="仿宋" w:hAnsi="仿宋" w:eastAsia="仿宋" w:cs="仿宋"/>
          <w:bCs/>
          <w:spacing w:val="6"/>
          <w:sz w:val="24"/>
          <w:szCs w:val="24"/>
          <w:vertAlign w:val="subscript"/>
        </w:rPr>
        <w:t>2</w:t>
      </w:r>
      <w:r>
        <w:rPr>
          <w:rFonts w:hint="eastAsia" w:ascii="仿宋" w:hAnsi="仿宋" w:eastAsia="仿宋" w:cs="仿宋"/>
          <w:bCs/>
          <w:spacing w:val="6"/>
          <w:sz w:val="24"/>
          <w:szCs w:val="24"/>
        </w:rPr>
        <w:t>—技术部分评审</w:t>
      </w:r>
      <w:r>
        <w:rPr>
          <w:rFonts w:hint="eastAsia" w:ascii="仿宋" w:hAnsi="仿宋" w:eastAsia="仿宋" w:cs="仿宋"/>
          <w:sz w:val="24"/>
          <w:szCs w:val="24"/>
        </w:rPr>
        <w:t>得分由高到低的顺序排列，依次类推。</w:t>
      </w:r>
    </w:p>
    <w:p w14:paraId="602E884A">
      <w:pPr>
        <w:spacing w:line="500" w:lineRule="exact"/>
        <w:ind w:firstLine="480" w:firstLineChars="200"/>
        <w:outlineLvl w:val="1"/>
        <w:rPr>
          <w:rFonts w:ascii="仿宋" w:hAnsi="仿宋" w:eastAsia="仿宋" w:cs="仿宋"/>
          <w:b/>
          <w:bCs/>
          <w:sz w:val="24"/>
          <w:szCs w:val="24"/>
        </w:rPr>
      </w:pPr>
      <w:bookmarkStart w:id="141" w:name="_Toc15303"/>
      <w:bookmarkStart w:id="142" w:name="_Toc10870"/>
      <w:r>
        <w:rPr>
          <w:rFonts w:hint="eastAsia" w:ascii="仿宋" w:hAnsi="仿宋" w:eastAsia="仿宋" w:cs="仿宋"/>
          <w:b/>
          <w:bCs/>
          <w:sz w:val="24"/>
          <w:szCs w:val="24"/>
        </w:rPr>
        <w:t>八、评标报告编写</w:t>
      </w:r>
      <w:bookmarkEnd w:id="141"/>
      <w:bookmarkEnd w:id="142"/>
    </w:p>
    <w:p w14:paraId="3DBD300B">
      <w:pPr>
        <w:pStyle w:val="11"/>
        <w:spacing w:line="500" w:lineRule="exact"/>
        <w:ind w:left="0" w:firstLine="480" w:firstLineChars="200"/>
        <w:rPr>
          <w:rFonts w:ascii="仿宋" w:hAnsi="仿宋" w:eastAsia="仿宋" w:cs="仿宋"/>
          <w:szCs w:val="24"/>
        </w:rPr>
      </w:pPr>
      <w:r>
        <w:rPr>
          <w:rFonts w:hint="eastAsia" w:ascii="仿宋" w:hAnsi="仿宋" w:eastAsia="仿宋" w:cs="仿宋"/>
          <w:szCs w:val="24"/>
        </w:rPr>
        <w:t>评标委员会根据全体评标成员签字的评标记录和评标结果编写评标报告。</w:t>
      </w:r>
    </w:p>
    <w:p w14:paraId="10B2C149">
      <w:pPr>
        <w:spacing w:line="500" w:lineRule="exact"/>
        <w:ind w:firstLine="480" w:firstLineChars="200"/>
        <w:outlineLvl w:val="1"/>
        <w:rPr>
          <w:rFonts w:ascii="仿宋" w:hAnsi="仿宋" w:eastAsia="仿宋" w:cs="仿宋"/>
          <w:b/>
          <w:bCs/>
          <w:sz w:val="24"/>
          <w:szCs w:val="24"/>
        </w:rPr>
      </w:pPr>
      <w:bookmarkStart w:id="143" w:name="_Toc19558"/>
      <w:bookmarkStart w:id="144" w:name="_Toc25917"/>
      <w:r>
        <w:rPr>
          <w:rFonts w:hint="eastAsia" w:ascii="仿宋" w:hAnsi="仿宋" w:eastAsia="仿宋" w:cs="仿宋"/>
          <w:b/>
          <w:bCs/>
          <w:sz w:val="24"/>
          <w:szCs w:val="24"/>
        </w:rPr>
        <w:t>九、评标结果</w:t>
      </w:r>
      <w:bookmarkEnd w:id="143"/>
      <w:bookmarkEnd w:id="144"/>
    </w:p>
    <w:p w14:paraId="5A80FEEF">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1.评标委员会按得分由高到低顺序推荐中标候选人，并提出书面评标报告。</w:t>
      </w:r>
    </w:p>
    <w:p w14:paraId="33075C62">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2.采购人根据评标委员会提出的书面评标报告和推荐的中标候选人名单，按顺序确定中标人。</w:t>
      </w:r>
    </w:p>
    <w:p w14:paraId="6A640557">
      <w:pPr>
        <w:spacing w:line="500" w:lineRule="exact"/>
        <w:rPr>
          <w:rFonts w:ascii="仿宋" w:hAnsi="仿宋" w:eastAsia="仿宋" w:cs="仿宋"/>
          <w:sz w:val="24"/>
          <w:szCs w:val="24"/>
        </w:rPr>
      </w:pPr>
      <w:r>
        <w:rPr>
          <w:rFonts w:hint="eastAsia" w:ascii="仿宋" w:hAnsi="仿宋" w:eastAsia="仿宋" w:cs="仿宋"/>
          <w:sz w:val="24"/>
          <w:szCs w:val="24"/>
        </w:rPr>
        <w:br w:type="page"/>
      </w:r>
    </w:p>
    <w:p w14:paraId="45EF10AF">
      <w:pPr>
        <w:pStyle w:val="2"/>
        <w:numPr>
          <w:ilvl w:val="3"/>
          <w:numId w:val="0"/>
        </w:numPr>
        <w:snapToGrid w:val="0"/>
        <w:spacing w:line="360" w:lineRule="auto"/>
        <w:jc w:val="center"/>
        <w:rPr>
          <w:rFonts w:ascii="仿宋" w:hAnsi="仿宋" w:eastAsia="仿宋" w:cs="仿宋"/>
          <w:sz w:val="44"/>
          <w:szCs w:val="44"/>
        </w:rPr>
      </w:pPr>
      <w:bookmarkStart w:id="145" w:name="_Toc15930"/>
      <w:r>
        <w:rPr>
          <w:rFonts w:hint="eastAsia" w:ascii="仿宋" w:hAnsi="仿宋" w:eastAsia="仿宋" w:cs="仿宋"/>
          <w:sz w:val="44"/>
          <w:szCs w:val="44"/>
        </w:rPr>
        <w:t xml:space="preserve">第五章  </w:t>
      </w:r>
      <w:bookmarkEnd w:id="123"/>
      <w:r>
        <w:rPr>
          <w:rFonts w:hint="eastAsia" w:ascii="仿宋" w:hAnsi="仿宋" w:eastAsia="仿宋" w:cs="仿宋"/>
          <w:sz w:val="44"/>
          <w:szCs w:val="44"/>
        </w:rPr>
        <w:t>合同书样式及主要条款</w:t>
      </w:r>
      <w:bookmarkEnd w:id="145"/>
    </w:p>
    <w:p w14:paraId="14EC5D9D">
      <w:pPr>
        <w:jc w:val="center"/>
        <w:rPr>
          <w:rFonts w:ascii="仿宋" w:hAnsi="仿宋" w:eastAsia="仿宋" w:cs="仿宋"/>
          <w:sz w:val="22"/>
          <w:szCs w:val="24"/>
        </w:rPr>
      </w:pPr>
      <w:r>
        <w:rPr>
          <w:rFonts w:hint="eastAsia" w:ascii="仿宋" w:hAnsi="仿宋" w:eastAsia="仿宋" w:cs="仿宋"/>
          <w:sz w:val="22"/>
          <w:szCs w:val="24"/>
        </w:rPr>
        <w:t>（采购人保留最终修订合同的权利，最终合同以实际签订为准）</w:t>
      </w:r>
    </w:p>
    <w:p w14:paraId="71109C78">
      <w:pPr>
        <w:pStyle w:val="31"/>
        <w:jc w:val="center"/>
      </w:pPr>
    </w:p>
    <w:p w14:paraId="5E36A8ED">
      <w:pPr>
        <w:pStyle w:val="2"/>
        <w:numPr>
          <w:ilvl w:val="3"/>
          <w:numId w:val="0"/>
        </w:numPr>
        <w:snapToGrid w:val="0"/>
        <w:spacing w:line="360" w:lineRule="auto"/>
        <w:jc w:val="center"/>
        <w:rPr>
          <w:rFonts w:ascii="仿宋" w:hAnsi="仿宋" w:eastAsia="仿宋" w:cs="仿宋"/>
          <w:sz w:val="44"/>
          <w:szCs w:val="44"/>
        </w:rPr>
        <w:sectPr>
          <w:headerReference r:id="rId4" w:type="default"/>
          <w:footerReference r:id="rId5" w:type="default"/>
          <w:pgSz w:w="11906" w:h="16838"/>
          <w:pgMar w:top="1440" w:right="1418" w:bottom="1440" w:left="1418" w:header="851" w:footer="992" w:gutter="0"/>
          <w:cols w:space="0" w:num="1"/>
          <w:docGrid w:type="linesAndChars" w:linePitch="312" w:charSpace="0"/>
        </w:sectPr>
      </w:pPr>
      <w:bookmarkStart w:id="146" w:name="_Toc5802"/>
      <w:bookmarkStart w:id="147" w:name="_Toc62031168"/>
    </w:p>
    <w:p w14:paraId="694E145C">
      <w:pPr>
        <w:pStyle w:val="2"/>
        <w:numPr>
          <w:ilvl w:val="3"/>
          <w:numId w:val="0"/>
        </w:numPr>
        <w:snapToGrid w:val="0"/>
        <w:spacing w:line="360" w:lineRule="auto"/>
        <w:jc w:val="center"/>
        <w:rPr>
          <w:szCs w:val="24"/>
        </w:rPr>
      </w:pPr>
      <w:bookmarkStart w:id="148" w:name="_Toc15063"/>
      <w:r>
        <w:rPr>
          <w:rFonts w:hint="eastAsia" w:ascii="仿宋" w:hAnsi="仿宋" w:eastAsia="仿宋" w:cs="仿宋"/>
          <w:sz w:val="44"/>
          <w:szCs w:val="44"/>
        </w:rPr>
        <w:t>第六章  采购需求</w:t>
      </w:r>
      <w:bookmarkEnd w:id="146"/>
      <w:bookmarkEnd w:id="148"/>
    </w:p>
    <w:p w14:paraId="1C9B8F40">
      <w:pPr>
        <w:rPr>
          <w:rFonts w:ascii="仿宋" w:hAnsi="仿宋" w:eastAsia="仿宋" w:cs="仿宋"/>
          <w:sz w:val="44"/>
          <w:szCs w:val="44"/>
        </w:rPr>
      </w:pPr>
      <w:r>
        <w:rPr>
          <w:rFonts w:hint="eastAsia"/>
          <w:sz w:val="24"/>
          <w:szCs w:val="24"/>
        </w:rPr>
        <w:t>供应商所需提交报批成果如下：最终服务成果是取得取水许可证。</w:t>
      </w:r>
    </w:p>
    <w:tbl>
      <w:tblPr>
        <w:tblStyle w:val="24"/>
        <w:tblW w:w="5000" w:type="pct"/>
        <w:tblInd w:w="0" w:type="dxa"/>
        <w:tblLayout w:type="fixed"/>
        <w:tblCellMar>
          <w:top w:w="0" w:type="dxa"/>
          <w:left w:w="108" w:type="dxa"/>
          <w:bottom w:w="0" w:type="dxa"/>
          <w:right w:w="108" w:type="dxa"/>
        </w:tblCellMar>
      </w:tblPr>
      <w:tblGrid>
        <w:gridCol w:w="2123"/>
        <w:gridCol w:w="3413"/>
        <w:gridCol w:w="4318"/>
      </w:tblGrid>
      <w:tr w14:paraId="5CF8BD74">
        <w:tblPrEx>
          <w:tblCellMar>
            <w:top w:w="0" w:type="dxa"/>
            <w:left w:w="108" w:type="dxa"/>
            <w:bottom w:w="0" w:type="dxa"/>
            <w:right w:w="108" w:type="dxa"/>
          </w:tblCellMar>
        </w:tblPrEx>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14:paraId="71C9F6F0">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成果名称</w:t>
            </w:r>
          </w:p>
        </w:tc>
        <w:tc>
          <w:tcPr>
            <w:tcW w:w="1731" w:type="pct"/>
            <w:tcBorders>
              <w:top w:val="single" w:color="auto" w:sz="4" w:space="0"/>
              <w:left w:val="single" w:color="auto" w:sz="4" w:space="0"/>
              <w:bottom w:val="single" w:color="auto" w:sz="4" w:space="0"/>
              <w:right w:val="single" w:color="auto" w:sz="4" w:space="0"/>
            </w:tcBorders>
            <w:shd w:val="clear" w:color="auto" w:fill="auto"/>
            <w:vAlign w:val="center"/>
          </w:tcPr>
          <w:p w14:paraId="6982051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专题名称</w:t>
            </w:r>
          </w:p>
        </w:tc>
        <w:tc>
          <w:tcPr>
            <w:tcW w:w="2190" w:type="pct"/>
            <w:tcBorders>
              <w:top w:val="single" w:color="auto" w:sz="4" w:space="0"/>
              <w:left w:val="nil"/>
              <w:bottom w:val="single" w:color="auto" w:sz="4" w:space="0"/>
              <w:right w:val="single" w:color="auto" w:sz="4" w:space="0"/>
            </w:tcBorders>
            <w:shd w:val="clear" w:color="auto" w:fill="auto"/>
            <w:vAlign w:val="center"/>
          </w:tcPr>
          <w:p w14:paraId="3395EDB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项目说明</w:t>
            </w:r>
          </w:p>
        </w:tc>
      </w:tr>
      <w:tr w14:paraId="05A2721B">
        <w:tblPrEx>
          <w:tblCellMar>
            <w:top w:w="0" w:type="dxa"/>
            <w:left w:w="108" w:type="dxa"/>
            <w:bottom w:w="0" w:type="dxa"/>
            <w:right w:w="108" w:type="dxa"/>
          </w:tblCellMar>
        </w:tblPrEx>
        <w:trPr>
          <w:trHeight w:val="913" w:hRule="atLeast"/>
        </w:trPr>
        <w:tc>
          <w:tcPr>
            <w:tcW w:w="1077" w:type="pct"/>
            <w:vMerge w:val="restart"/>
            <w:tcBorders>
              <w:top w:val="nil"/>
              <w:left w:val="single" w:color="auto" w:sz="4" w:space="0"/>
              <w:right w:val="single" w:color="auto" w:sz="4" w:space="0"/>
            </w:tcBorders>
            <w:shd w:val="clear" w:color="auto" w:fill="auto"/>
            <w:vAlign w:val="center"/>
          </w:tcPr>
          <w:p w14:paraId="7C70A581">
            <w:pPr>
              <w:spacing w:line="500" w:lineRule="exact"/>
              <w:rPr>
                <w:rFonts w:ascii="仿宋" w:hAnsi="仿宋" w:eastAsia="仿宋" w:cs="仿宋"/>
                <w:sz w:val="24"/>
                <w:szCs w:val="24"/>
              </w:rPr>
            </w:pPr>
            <w:r>
              <w:rPr>
                <w:rFonts w:hint="eastAsia" w:ascii="仿宋" w:hAnsi="仿宋" w:eastAsia="仿宋" w:cs="仿宋"/>
                <w:sz w:val="24"/>
                <w:szCs w:val="24"/>
              </w:rPr>
              <w:t>水资源论证报告</w:t>
            </w:r>
          </w:p>
        </w:tc>
        <w:tc>
          <w:tcPr>
            <w:tcW w:w="1731" w:type="pct"/>
            <w:tcBorders>
              <w:top w:val="nil"/>
              <w:left w:val="nil"/>
              <w:bottom w:val="single" w:color="auto" w:sz="4" w:space="0"/>
              <w:right w:val="single" w:color="auto" w:sz="4" w:space="0"/>
            </w:tcBorders>
            <w:shd w:val="clear" w:color="auto" w:fill="auto"/>
            <w:vAlign w:val="center"/>
          </w:tcPr>
          <w:p w14:paraId="00ADEB2B">
            <w:pPr>
              <w:spacing w:line="500" w:lineRule="exact"/>
              <w:rPr>
                <w:rFonts w:ascii="仿宋" w:hAnsi="仿宋" w:eastAsia="仿宋" w:cs="仿宋"/>
                <w:sz w:val="24"/>
                <w:szCs w:val="24"/>
              </w:rPr>
            </w:pPr>
            <w:r>
              <w:rPr>
                <w:rFonts w:hint="eastAsia" w:ascii="仿宋" w:hAnsi="仿宋" w:eastAsia="仿宋" w:cs="仿宋"/>
                <w:sz w:val="24"/>
                <w:szCs w:val="24"/>
              </w:rPr>
              <w:t>水质论证专家评审建议</w:t>
            </w:r>
          </w:p>
        </w:tc>
        <w:tc>
          <w:tcPr>
            <w:tcW w:w="2190" w:type="pct"/>
            <w:tcBorders>
              <w:top w:val="nil"/>
              <w:left w:val="nil"/>
              <w:bottom w:val="single" w:color="auto" w:sz="4" w:space="0"/>
              <w:right w:val="single" w:color="auto" w:sz="4" w:space="0"/>
            </w:tcBorders>
            <w:shd w:val="clear" w:color="auto" w:fill="auto"/>
            <w:vAlign w:val="center"/>
          </w:tcPr>
          <w:p w14:paraId="4901EA69">
            <w:pPr>
              <w:spacing w:line="500" w:lineRule="exact"/>
              <w:rPr>
                <w:rFonts w:ascii="仿宋" w:hAnsi="仿宋" w:eastAsia="仿宋" w:cs="仿宋"/>
                <w:sz w:val="24"/>
                <w:szCs w:val="24"/>
              </w:rPr>
            </w:pPr>
            <w:r>
              <w:rPr>
                <w:rFonts w:hint="eastAsia" w:ascii="仿宋" w:hAnsi="仿宋" w:eastAsia="仿宋" w:cs="仿宋"/>
                <w:sz w:val="24"/>
                <w:szCs w:val="24"/>
              </w:rPr>
              <w:t>水资源论证报告应经专家评审会通过，按评审意见完善后提交报批稿，专家评审会应由县级及以上人民政府水行政主管部门组织专家、取水口所在街道办事处和取水申请单位或者个人及水资源论证报告编制单位等相关单位开展。</w:t>
            </w:r>
          </w:p>
        </w:tc>
      </w:tr>
      <w:tr w14:paraId="75643EF6">
        <w:tblPrEx>
          <w:tblCellMar>
            <w:top w:w="0" w:type="dxa"/>
            <w:left w:w="108" w:type="dxa"/>
            <w:bottom w:w="0" w:type="dxa"/>
            <w:right w:w="108" w:type="dxa"/>
          </w:tblCellMar>
        </w:tblPrEx>
        <w:trPr>
          <w:trHeight w:val="913" w:hRule="atLeast"/>
        </w:trPr>
        <w:tc>
          <w:tcPr>
            <w:tcW w:w="1077" w:type="pct"/>
            <w:vMerge w:val="continue"/>
            <w:tcBorders>
              <w:left w:val="single" w:color="auto" w:sz="4" w:space="0"/>
              <w:bottom w:val="single" w:color="auto" w:sz="4" w:space="0"/>
              <w:right w:val="single" w:color="auto" w:sz="4" w:space="0"/>
            </w:tcBorders>
            <w:shd w:val="clear" w:color="auto" w:fill="auto"/>
            <w:vAlign w:val="center"/>
          </w:tcPr>
          <w:p w14:paraId="3D730D0F">
            <w:pPr>
              <w:spacing w:line="500" w:lineRule="exact"/>
              <w:rPr>
                <w:rFonts w:ascii="仿宋" w:hAnsi="仿宋" w:eastAsia="仿宋" w:cs="仿宋"/>
                <w:sz w:val="24"/>
                <w:szCs w:val="24"/>
              </w:rPr>
            </w:pPr>
          </w:p>
        </w:tc>
        <w:tc>
          <w:tcPr>
            <w:tcW w:w="1731" w:type="pct"/>
            <w:tcBorders>
              <w:top w:val="nil"/>
              <w:left w:val="nil"/>
              <w:bottom w:val="single" w:color="auto" w:sz="4" w:space="0"/>
              <w:right w:val="single" w:color="auto" w:sz="4" w:space="0"/>
            </w:tcBorders>
            <w:shd w:val="clear" w:color="auto" w:fill="auto"/>
            <w:vAlign w:val="center"/>
          </w:tcPr>
          <w:p w14:paraId="30858169">
            <w:pPr>
              <w:spacing w:line="500" w:lineRule="exact"/>
              <w:rPr>
                <w:rFonts w:ascii="仿宋" w:hAnsi="仿宋" w:eastAsia="仿宋" w:cs="仿宋"/>
                <w:sz w:val="24"/>
                <w:szCs w:val="24"/>
              </w:rPr>
            </w:pPr>
            <w:r>
              <w:rPr>
                <w:rFonts w:hint="eastAsia" w:ascii="仿宋" w:hAnsi="仿宋" w:eastAsia="仿宋" w:cs="仿宋"/>
                <w:sz w:val="24"/>
                <w:szCs w:val="24"/>
              </w:rPr>
              <w:t>水资源论证报告</w:t>
            </w:r>
          </w:p>
        </w:tc>
        <w:tc>
          <w:tcPr>
            <w:tcW w:w="2190" w:type="pct"/>
            <w:tcBorders>
              <w:top w:val="nil"/>
              <w:left w:val="nil"/>
              <w:bottom w:val="single" w:color="auto" w:sz="4" w:space="0"/>
              <w:right w:val="single" w:color="auto" w:sz="4" w:space="0"/>
            </w:tcBorders>
            <w:shd w:val="clear" w:color="auto" w:fill="auto"/>
            <w:vAlign w:val="center"/>
          </w:tcPr>
          <w:p w14:paraId="098590CB">
            <w:pPr>
              <w:spacing w:line="500" w:lineRule="exact"/>
              <w:rPr>
                <w:rFonts w:ascii="仿宋" w:hAnsi="仿宋" w:eastAsia="仿宋" w:cs="仿宋"/>
                <w:sz w:val="24"/>
                <w:szCs w:val="24"/>
              </w:rPr>
            </w:pPr>
            <w:r>
              <w:rPr>
                <w:rFonts w:hint="eastAsia" w:ascii="仿宋" w:hAnsi="仿宋" w:eastAsia="仿宋" w:cs="仿宋"/>
                <w:sz w:val="24"/>
                <w:szCs w:val="24"/>
              </w:rPr>
              <w:t>水资源论证报告应经专家评审会通过，按评审意见完善后提交报批稿。</w:t>
            </w:r>
          </w:p>
        </w:tc>
      </w:tr>
      <w:tr w14:paraId="72DE7187">
        <w:tblPrEx>
          <w:tblCellMar>
            <w:top w:w="0" w:type="dxa"/>
            <w:left w:w="108" w:type="dxa"/>
            <w:bottom w:w="0" w:type="dxa"/>
            <w:right w:w="108" w:type="dxa"/>
          </w:tblCellMar>
        </w:tblPrEx>
        <w:trPr>
          <w:trHeight w:val="814" w:hRule="atLeast"/>
        </w:trPr>
        <w:tc>
          <w:tcPr>
            <w:tcW w:w="1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19ADE">
            <w:pPr>
              <w:spacing w:line="500" w:lineRule="exact"/>
              <w:rPr>
                <w:rFonts w:ascii="仿宋" w:hAnsi="仿宋" w:eastAsia="仿宋" w:cs="仿宋"/>
                <w:sz w:val="24"/>
                <w:szCs w:val="24"/>
              </w:rPr>
            </w:pPr>
            <w:r>
              <w:rPr>
                <w:rFonts w:hint="eastAsia" w:ascii="仿宋" w:hAnsi="仿宋" w:eastAsia="仿宋" w:cs="仿宋"/>
                <w:sz w:val="24"/>
                <w:szCs w:val="24"/>
              </w:rPr>
              <w:t>取水证</w:t>
            </w:r>
          </w:p>
        </w:tc>
        <w:tc>
          <w:tcPr>
            <w:tcW w:w="1731" w:type="pct"/>
            <w:tcBorders>
              <w:top w:val="single" w:color="auto" w:sz="4" w:space="0"/>
              <w:left w:val="nil"/>
              <w:bottom w:val="single" w:color="auto" w:sz="4" w:space="0"/>
              <w:right w:val="single" w:color="auto" w:sz="4" w:space="0"/>
            </w:tcBorders>
            <w:shd w:val="clear" w:color="auto" w:fill="auto"/>
            <w:noWrap/>
            <w:vAlign w:val="center"/>
          </w:tcPr>
          <w:p w14:paraId="58DEA317">
            <w:pPr>
              <w:spacing w:line="500" w:lineRule="exact"/>
              <w:rPr>
                <w:rFonts w:ascii="仿宋" w:hAnsi="仿宋" w:eastAsia="仿宋" w:cs="仿宋"/>
                <w:sz w:val="24"/>
                <w:szCs w:val="24"/>
              </w:rPr>
            </w:pPr>
            <w:r>
              <w:rPr>
                <w:rFonts w:hint="eastAsia" w:ascii="仿宋" w:hAnsi="仿宋" w:eastAsia="仿宋" w:cs="仿宋"/>
                <w:sz w:val="24"/>
                <w:szCs w:val="24"/>
              </w:rPr>
              <w:t>水务局颁布的取水许可证</w:t>
            </w:r>
          </w:p>
        </w:tc>
        <w:tc>
          <w:tcPr>
            <w:tcW w:w="2190" w:type="pct"/>
            <w:tcBorders>
              <w:top w:val="single" w:color="auto" w:sz="4" w:space="0"/>
              <w:left w:val="nil"/>
              <w:bottom w:val="single" w:color="auto" w:sz="4" w:space="0"/>
              <w:right w:val="single" w:color="auto" w:sz="4" w:space="0"/>
            </w:tcBorders>
            <w:shd w:val="clear" w:color="auto" w:fill="auto"/>
            <w:vAlign w:val="center"/>
          </w:tcPr>
          <w:p w14:paraId="57C4FA4E">
            <w:pPr>
              <w:spacing w:line="500" w:lineRule="exact"/>
              <w:rPr>
                <w:rFonts w:ascii="仿宋" w:hAnsi="仿宋" w:eastAsia="仿宋" w:cs="仿宋"/>
                <w:sz w:val="24"/>
                <w:szCs w:val="24"/>
              </w:rPr>
            </w:pPr>
            <w:r>
              <w:rPr>
                <w:rFonts w:hint="eastAsia" w:ascii="仿宋" w:hAnsi="仿宋" w:eastAsia="仿宋" w:cs="仿宋"/>
                <w:sz w:val="24"/>
                <w:szCs w:val="24"/>
              </w:rPr>
              <w:t>行政许可实施机构为县级以上人民政府水行政主管部门，为法定授权机构。</w:t>
            </w:r>
          </w:p>
          <w:p w14:paraId="00C748BA">
            <w:pPr>
              <w:spacing w:line="500" w:lineRule="exact"/>
              <w:rPr>
                <w:rFonts w:ascii="仿宋" w:hAnsi="仿宋" w:eastAsia="仿宋" w:cs="仿宋"/>
                <w:sz w:val="24"/>
                <w:szCs w:val="24"/>
              </w:rPr>
            </w:pPr>
            <w:r>
              <w:rPr>
                <w:rFonts w:hint="eastAsia" w:ascii="仿宋" w:hAnsi="仿宋" w:eastAsia="仿宋" w:cs="仿宋"/>
                <w:sz w:val="24"/>
                <w:szCs w:val="24"/>
              </w:rPr>
              <w:t>昆明市盘龙区水务局，是办理该行政许可事项的法定机关，负责该行政许可事项的受理、审查并作出行政许可决定。</w:t>
            </w:r>
          </w:p>
        </w:tc>
      </w:tr>
    </w:tbl>
    <w:p w14:paraId="67DB9148">
      <w:pPr>
        <w:rPr>
          <w:rFonts w:ascii="仿宋" w:hAnsi="仿宋" w:eastAsia="仿宋" w:cs="仿宋"/>
          <w:sz w:val="44"/>
          <w:szCs w:val="44"/>
        </w:rPr>
      </w:pPr>
    </w:p>
    <w:p w14:paraId="107939C4">
      <w:pPr>
        <w:rPr>
          <w:rFonts w:ascii="仿宋" w:hAnsi="仿宋" w:eastAsia="仿宋" w:cs="仿宋"/>
          <w:sz w:val="44"/>
          <w:szCs w:val="44"/>
        </w:rPr>
      </w:pPr>
      <w:r>
        <w:rPr>
          <w:rFonts w:ascii="仿宋" w:hAnsi="仿宋" w:eastAsia="仿宋" w:cs="仿宋"/>
          <w:sz w:val="44"/>
          <w:szCs w:val="44"/>
        </w:rPr>
        <w:br w:type="page"/>
      </w:r>
    </w:p>
    <w:p w14:paraId="4476739A">
      <w:pPr>
        <w:jc w:val="center"/>
        <w:rPr>
          <w:rFonts w:ascii="仿宋" w:hAnsi="仿宋" w:eastAsia="仿宋" w:cs="仿宋"/>
          <w:sz w:val="44"/>
          <w:szCs w:val="44"/>
        </w:rPr>
      </w:pPr>
    </w:p>
    <w:p w14:paraId="65B0E223">
      <w:pPr>
        <w:rPr>
          <w:rFonts w:ascii="仿宋" w:hAnsi="仿宋" w:eastAsia="仿宋" w:cs="仿宋"/>
          <w:sz w:val="44"/>
          <w:szCs w:val="44"/>
        </w:rPr>
      </w:pPr>
      <w:r>
        <w:rPr>
          <w:rFonts w:hint="eastAsia" w:ascii="仿宋" w:hAnsi="仿宋" w:eastAsia="仿宋" w:cs="仿宋"/>
          <w:sz w:val="44"/>
          <w:szCs w:val="44"/>
        </w:rPr>
        <w:t>第七章  响应文件格式</w:t>
      </w:r>
      <w:bookmarkEnd w:id="147"/>
    </w:p>
    <w:p w14:paraId="661E537B">
      <w:pPr>
        <w:rPr>
          <w:rFonts w:ascii="仿宋" w:hAnsi="仿宋" w:eastAsia="仿宋" w:cs="仿宋"/>
          <w:sz w:val="22"/>
          <w:szCs w:val="24"/>
        </w:rPr>
      </w:pPr>
    </w:p>
    <w:p w14:paraId="354F153D">
      <w:pPr>
        <w:pStyle w:val="35"/>
        <w:tabs>
          <w:tab w:val="clear" w:pos="6195"/>
        </w:tabs>
        <w:adjustRightInd/>
        <w:spacing w:line="360" w:lineRule="auto"/>
        <w:rPr>
          <w:rFonts w:ascii="仿宋" w:hAnsi="仿宋" w:eastAsia="仿宋" w:cs="仿宋"/>
          <w:b/>
          <w:bCs/>
          <w:sz w:val="56"/>
          <w:szCs w:val="56"/>
        </w:rPr>
      </w:pPr>
      <w:r>
        <w:rPr>
          <w:rFonts w:hint="eastAsia" w:ascii="仿宋" w:hAnsi="仿宋" w:eastAsia="仿宋" w:cs="仿宋"/>
          <w:b/>
          <w:bCs/>
          <w:color w:val="000000" w:themeColor="text1"/>
          <w:sz w:val="48"/>
          <w:szCs w:val="48"/>
        </w:rPr>
        <w:t>中国科学院昆明植物研究所取水许可证办理</w:t>
      </w:r>
      <w:r>
        <w:rPr>
          <w:rFonts w:hint="eastAsia" w:ascii="仿宋" w:hAnsi="仿宋" w:eastAsia="仿宋" w:cs="仿宋"/>
          <w:b/>
          <w:bCs/>
          <w:sz w:val="52"/>
          <w:szCs w:val="52"/>
        </w:rPr>
        <w:t>服务采购</w:t>
      </w:r>
    </w:p>
    <w:p w14:paraId="13BF3AF1">
      <w:pPr>
        <w:pStyle w:val="9"/>
        <w:rPr>
          <w:rFonts w:ascii="仿宋" w:hAnsi="仿宋" w:eastAsia="仿宋" w:cs="仿宋"/>
        </w:rPr>
      </w:pPr>
    </w:p>
    <w:p w14:paraId="48888398">
      <w:pPr>
        <w:pStyle w:val="10"/>
        <w:rPr>
          <w:rFonts w:ascii="仿宋" w:hAnsi="仿宋" w:eastAsia="仿宋" w:cs="仿宋"/>
        </w:rPr>
      </w:pPr>
    </w:p>
    <w:p w14:paraId="1353AC6E">
      <w:pPr>
        <w:rPr>
          <w:rFonts w:ascii="仿宋" w:hAnsi="仿宋" w:eastAsia="仿宋" w:cs="仿宋"/>
        </w:rPr>
      </w:pPr>
    </w:p>
    <w:p w14:paraId="00FD496E">
      <w:pPr>
        <w:pStyle w:val="9"/>
        <w:rPr>
          <w:rFonts w:ascii="仿宋" w:hAnsi="仿宋" w:eastAsia="仿宋" w:cs="仿宋"/>
        </w:rPr>
      </w:pPr>
    </w:p>
    <w:p w14:paraId="57113601">
      <w:pPr>
        <w:autoSpaceDE w:val="0"/>
        <w:autoSpaceDN w:val="0"/>
        <w:adjustRightInd w:val="0"/>
        <w:jc w:val="center"/>
        <w:rPr>
          <w:rFonts w:ascii="仿宋" w:hAnsi="仿宋" w:eastAsia="仿宋" w:cs="仿宋"/>
          <w:kern w:val="0"/>
          <w:sz w:val="28"/>
          <w:szCs w:val="24"/>
        </w:rPr>
      </w:pPr>
    </w:p>
    <w:p w14:paraId="758F2076">
      <w:pPr>
        <w:spacing w:line="360" w:lineRule="auto"/>
        <w:jc w:val="center"/>
        <w:rPr>
          <w:rFonts w:ascii="仿宋" w:hAnsi="仿宋" w:eastAsia="仿宋" w:cs="仿宋"/>
          <w:b/>
          <w:bCs/>
          <w:sz w:val="96"/>
          <w:szCs w:val="96"/>
        </w:rPr>
      </w:pPr>
      <w:r>
        <w:rPr>
          <w:rFonts w:hint="eastAsia" w:ascii="仿宋" w:hAnsi="仿宋" w:eastAsia="仿宋" w:cs="仿宋"/>
          <w:b/>
          <w:bCs/>
          <w:sz w:val="96"/>
          <w:szCs w:val="96"/>
        </w:rPr>
        <w:t>响应文件</w:t>
      </w:r>
    </w:p>
    <w:p w14:paraId="3AA92E68">
      <w:pPr>
        <w:spacing w:line="360" w:lineRule="auto"/>
        <w:jc w:val="center"/>
        <w:rPr>
          <w:rFonts w:ascii="仿宋" w:hAnsi="仿宋" w:eastAsia="仿宋" w:cs="仿宋"/>
          <w:b/>
          <w:bCs/>
          <w:sz w:val="36"/>
          <w:szCs w:val="40"/>
          <w:highlight w:val="yellow"/>
        </w:rPr>
      </w:pPr>
      <w:r>
        <w:rPr>
          <w:rFonts w:hint="eastAsia" w:ascii="仿宋" w:hAnsi="仿宋" w:eastAsia="仿宋" w:cs="仿宋"/>
          <w:b/>
          <w:bCs/>
          <w:sz w:val="36"/>
          <w:szCs w:val="40"/>
        </w:rPr>
        <w:t>项目编号：</w:t>
      </w:r>
    </w:p>
    <w:p w14:paraId="579398F8">
      <w:pPr>
        <w:autoSpaceDE w:val="0"/>
        <w:autoSpaceDN w:val="0"/>
        <w:adjustRightInd w:val="0"/>
        <w:jc w:val="left"/>
        <w:rPr>
          <w:rFonts w:ascii="仿宋" w:hAnsi="仿宋" w:eastAsia="仿宋" w:cs="仿宋"/>
          <w:kern w:val="0"/>
          <w:sz w:val="28"/>
          <w:szCs w:val="24"/>
        </w:rPr>
      </w:pPr>
    </w:p>
    <w:p w14:paraId="49ABC64C">
      <w:pPr>
        <w:autoSpaceDE w:val="0"/>
        <w:autoSpaceDN w:val="0"/>
        <w:adjustRightInd w:val="0"/>
        <w:spacing w:line="800" w:lineRule="exact"/>
        <w:jc w:val="left"/>
        <w:rPr>
          <w:rFonts w:ascii="仿宋" w:hAnsi="仿宋" w:eastAsia="仿宋" w:cs="仿宋"/>
          <w:b/>
          <w:sz w:val="36"/>
          <w:szCs w:val="36"/>
        </w:rPr>
      </w:pPr>
    </w:p>
    <w:p w14:paraId="3D12A11D">
      <w:pPr>
        <w:autoSpaceDE w:val="0"/>
        <w:autoSpaceDN w:val="0"/>
        <w:adjustRightInd w:val="0"/>
        <w:spacing w:line="800" w:lineRule="exact"/>
        <w:ind w:firstLine="904" w:firstLineChars="250"/>
        <w:jc w:val="left"/>
        <w:rPr>
          <w:rFonts w:ascii="仿宋" w:hAnsi="仿宋" w:eastAsia="仿宋" w:cs="仿宋"/>
          <w:b/>
          <w:sz w:val="36"/>
          <w:szCs w:val="36"/>
        </w:rPr>
      </w:pPr>
    </w:p>
    <w:p w14:paraId="3F5BDD86">
      <w:pPr>
        <w:autoSpaceDE w:val="0"/>
        <w:autoSpaceDN w:val="0"/>
        <w:adjustRightInd w:val="0"/>
        <w:spacing w:line="800" w:lineRule="exact"/>
        <w:ind w:firstLine="803" w:firstLineChars="250"/>
        <w:jc w:val="center"/>
        <w:rPr>
          <w:rFonts w:ascii="仿宋" w:hAnsi="仿宋" w:eastAsia="仿宋" w:cs="仿宋"/>
          <w:kern w:val="0"/>
          <w:sz w:val="32"/>
          <w:szCs w:val="32"/>
        </w:rPr>
      </w:pPr>
      <w:r>
        <w:rPr>
          <w:rFonts w:hint="eastAsia" w:ascii="仿宋" w:hAnsi="仿宋" w:eastAsia="仿宋" w:cs="仿宋"/>
          <w:b/>
          <w:sz w:val="32"/>
          <w:szCs w:val="32"/>
        </w:rPr>
        <w:t>供应商：</w:t>
      </w:r>
      <w:r>
        <w:rPr>
          <w:rFonts w:hint="eastAsia" w:ascii="仿宋" w:hAnsi="仿宋" w:eastAsia="仿宋" w:cs="仿宋"/>
          <w:b/>
          <w:sz w:val="32"/>
          <w:szCs w:val="32"/>
          <w:u w:val="single"/>
        </w:rPr>
        <w:t xml:space="preserve">                        （盖单位公章）</w:t>
      </w:r>
    </w:p>
    <w:p w14:paraId="37BEA2F7">
      <w:pPr>
        <w:autoSpaceDE w:val="0"/>
        <w:autoSpaceDN w:val="0"/>
        <w:adjustRightInd w:val="0"/>
        <w:spacing w:line="800" w:lineRule="exact"/>
        <w:ind w:firstLine="803" w:firstLineChars="250"/>
        <w:jc w:val="center"/>
        <w:rPr>
          <w:rFonts w:ascii="仿宋" w:hAnsi="仿宋" w:eastAsia="仿宋" w:cs="仿宋"/>
          <w:b/>
          <w:sz w:val="32"/>
          <w:szCs w:val="32"/>
          <w:u w:val="single"/>
        </w:rPr>
      </w:pPr>
      <w:r>
        <w:rPr>
          <w:rFonts w:hint="eastAsia" w:ascii="仿宋" w:hAnsi="仿宋" w:eastAsia="仿宋" w:cs="仿宋"/>
          <w:b/>
          <w:sz w:val="32"/>
          <w:szCs w:val="32"/>
        </w:rPr>
        <w:t>法定代表人或其委托代理人：</w:t>
      </w:r>
      <w:r>
        <w:rPr>
          <w:rFonts w:hint="eastAsia" w:ascii="仿宋" w:hAnsi="仿宋" w:eastAsia="仿宋" w:cs="仿宋"/>
          <w:b/>
          <w:sz w:val="32"/>
          <w:szCs w:val="32"/>
          <w:u w:val="single"/>
        </w:rPr>
        <w:t xml:space="preserve">       （签字或盖章）</w:t>
      </w:r>
    </w:p>
    <w:p w14:paraId="3D007D2E">
      <w:pPr>
        <w:spacing w:line="800" w:lineRule="exact"/>
        <w:ind w:right="960" w:firstLine="803" w:firstLineChars="250"/>
        <w:jc w:val="center"/>
        <w:rPr>
          <w:rFonts w:ascii="仿宋" w:hAnsi="仿宋" w:eastAsia="仿宋" w:cs="仿宋"/>
          <w:b/>
          <w:bCs/>
          <w:sz w:val="32"/>
          <w:szCs w:val="32"/>
        </w:rPr>
      </w:pPr>
      <w:r>
        <w:rPr>
          <w:rFonts w:hint="eastAsia" w:ascii="仿宋" w:hAnsi="仿宋" w:eastAsia="仿宋" w:cs="仿宋"/>
          <w:b/>
          <w:sz w:val="32"/>
          <w:szCs w:val="32"/>
        </w:rPr>
        <w:t>日  期：年月日</w:t>
      </w:r>
      <w:bookmarkStart w:id="149" w:name="_Toc62031169"/>
      <w:r>
        <w:rPr>
          <w:rFonts w:hint="eastAsia" w:ascii="仿宋" w:hAnsi="仿宋" w:eastAsia="仿宋" w:cs="仿宋"/>
          <w:b/>
          <w:bCs/>
          <w:sz w:val="32"/>
          <w:szCs w:val="32"/>
        </w:rPr>
        <w:br w:type="page"/>
      </w:r>
    </w:p>
    <w:p w14:paraId="7D2833A6">
      <w:pPr>
        <w:jc w:val="center"/>
        <w:rPr>
          <w:rFonts w:ascii="仿宋" w:hAnsi="仿宋" w:eastAsia="仿宋" w:cs="仿宋"/>
          <w:b/>
          <w:bCs/>
          <w:sz w:val="32"/>
          <w:szCs w:val="32"/>
        </w:rPr>
      </w:pPr>
      <w:r>
        <w:rPr>
          <w:rFonts w:hint="eastAsia" w:ascii="仿宋" w:hAnsi="仿宋" w:eastAsia="仿宋" w:cs="仿宋"/>
          <w:b/>
          <w:bCs/>
          <w:sz w:val="32"/>
          <w:szCs w:val="32"/>
        </w:rPr>
        <w:t>开标（唱标）一览表</w:t>
      </w:r>
    </w:p>
    <w:p w14:paraId="79ABF8D4">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项目名称：                     </w:t>
      </w:r>
    </w:p>
    <w:p w14:paraId="0E0CF947">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投标人名称：                   </w:t>
      </w:r>
    </w:p>
    <w:tbl>
      <w:tblPr>
        <w:tblStyle w:val="2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27"/>
        <w:gridCol w:w="6039"/>
        <w:gridCol w:w="1479"/>
      </w:tblGrid>
      <w:tr w14:paraId="02D7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20" w:type="dxa"/>
            <w:noWrap/>
            <w:vAlign w:val="center"/>
          </w:tcPr>
          <w:p w14:paraId="22DEFAF7">
            <w:pPr>
              <w:spacing w:line="420" w:lineRule="exact"/>
              <w:jc w:val="left"/>
              <w:rPr>
                <w:rFonts w:ascii="仿宋" w:hAnsi="仿宋" w:eastAsia="仿宋" w:cs="仿宋"/>
                <w:sz w:val="22"/>
              </w:rPr>
            </w:pPr>
            <w:r>
              <w:rPr>
                <w:rFonts w:hint="eastAsia" w:ascii="仿宋" w:hAnsi="仿宋" w:eastAsia="仿宋" w:cs="仿宋"/>
                <w:sz w:val="22"/>
              </w:rPr>
              <w:t>序号</w:t>
            </w:r>
          </w:p>
        </w:tc>
        <w:tc>
          <w:tcPr>
            <w:tcW w:w="1127" w:type="dxa"/>
            <w:noWrap/>
            <w:vAlign w:val="center"/>
          </w:tcPr>
          <w:p w14:paraId="1E1FC594">
            <w:pPr>
              <w:spacing w:line="420" w:lineRule="exact"/>
              <w:jc w:val="left"/>
              <w:rPr>
                <w:rFonts w:ascii="仿宋" w:hAnsi="仿宋" w:eastAsia="仿宋" w:cs="仿宋"/>
                <w:sz w:val="22"/>
              </w:rPr>
            </w:pPr>
            <w:r>
              <w:rPr>
                <w:rFonts w:hint="eastAsia" w:ascii="仿宋" w:hAnsi="仿宋" w:eastAsia="仿宋" w:cs="仿宋"/>
                <w:sz w:val="22"/>
              </w:rPr>
              <w:t>内 容</w:t>
            </w:r>
          </w:p>
        </w:tc>
        <w:tc>
          <w:tcPr>
            <w:tcW w:w="6039" w:type="dxa"/>
            <w:noWrap/>
            <w:vAlign w:val="center"/>
          </w:tcPr>
          <w:p w14:paraId="1DF70EAC">
            <w:pPr>
              <w:spacing w:line="420" w:lineRule="exact"/>
              <w:jc w:val="left"/>
              <w:rPr>
                <w:rFonts w:ascii="仿宋" w:hAnsi="仿宋" w:eastAsia="仿宋" w:cs="仿宋"/>
                <w:sz w:val="22"/>
              </w:rPr>
            </w:pPr>
            <w:r>
              <w:rPr>
                <w:rFonts w:hint="eastAsia" w:ascii="仿宋" w:hAnsi="仿宋" w:eastAsia="仿宋" w:cs="仿宋"/>
                <w:sz w:val="22"/>
              </w:rPr>
              <w:t>报价及承诺</w:t>
            </w:r>
          </w:p>
        </w:tc>
        <w:tc>
          <w:tcPr>
            <w:tcW w:w="1479" w:type="dxa"/>
            <w:noWrap/>
            <w:vAlign w:val="center"/>
          </w:tcPr>
          <w:p w14:paraId="1239CC86">
            <w:pPr>
              <w:spacing w:line="420" w:lineRule="exact"/>
              <w:ind w:firstLine="440" w:firstLineChars="200"/>
              <w:jc w:val="left"/>
              <w:rPr>
                <w:rFonts w:ascii="仿宋" w:hAnsi="仿宋" w:eastAsia="仿宋" w:cs="仿宋"/>
                <w:sz w:val="22"/>
              </w:rPr>
            </w:pPr>
            <w:r>
              <w:rPr>
                <w:rFonts w:hint="eastAsia" w:ascii="仿宋" w:hAnsi="仿宋" w:eastAsia="仿宋" w:cs="仿宋"/>
                <w:sz w:val="22"/>
              </w:rPr>
              <w:t>备注</w:t>
            </w:r>
          </w:p>
        </w:tc>
      </w:tr>
      <w:tr w14:paraId="1EC2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20" w:type="dxa"/>
            <w:noWrap/>
            <w:vAlign w:val="center"/>
          </w:tcPr>
          <w:p w14:paraId="5D18ADE8">
            <w:pPr>
              <w:spacing w:line="420" w:lineRule="exact"/>
              <w:ind w:firstLine="440" w:firstLineChars="200"/>
              <w:jc w:val="left"/>
              <w:rPr>
                <w:rFonts w:ascii="仿宋" w:hAnsi="仿宋" w:eastAsia="仿宋" w:cs="仿宋"/>
                <w:sz w:val="22"/>
              </w:rPr>
            </w:pPr>
            <w:r>
              <w:rPr>
                <w:rFonts w:hint="eastAsia" w:ascii="仿宋" w:hAnsi="仿宋" w:eastAsia="仿宋" w:cs="仿宋"/>
                <w:sz w:val="22"/>
              </w:rPr>
              <w:t>1</w:t>
            </w:r>
          </w:p>
        </w:tc>
        <w:tc>
          <w:tcPr>
            <w:tcW w:w="1127" w:type="dxa"/>
            <w:noWrap/>
            <w:vAlign w:val="center"/>
          </w:tcPr>
          <w:p w14:paraId="56589EEC">
            <w:pPr>
              <w:spacing w:line="420" w:lineRule="exact"/>
              <w:jc w:val="left"/>
              <w:rPr>
                <w:rFonts w:ascii="仿宋" w:hAnsi="仿宋" w:eastAsia="仿宋" w:cs="仿宋"/>
                <w:sz w:val="22"/>
              </w:rPr>
            </w:pPr>
            <w:r>
              <w:rPr>
                <w:rFonts w:hint="eastAsia" w:ascii="仿宋" w:hAnsi="仿宋" w:eastAsia="仿宋" w:cs="仿宋"/>
                <w:sz w:val="22"/>
              </w:rPr>
              <w:t>投标报价</w:t>
            </w:r>
          </w:p>
        </w:tc>
        <w:tc>
          <w:tcPr>
            <w:tcW w:w="6039" w:type="dxa"/>
            <w:noWrap/>
            <w:vAlign w:val="center"/>
          </w:tcPr>
          <w:p w14:paraId="4A3991F3">
            <w:pPr>
              <w:spacing w:line="420" w:lineRule="exact"/>
              <w:ind w:firstLine="440" w:firstLineChars="200"/>
              <w:jc w:val="left"/>
              <w:rPr>
                <w:rFonts w:ascii="仿宋" w:hAnsi="仿宋" w:eastAsia="仿宋" w:cs="仿宋"/>
                <w:sz w:val="22"/>
              </w:rPr>
            </w:pPr>
          </w:p>
        </w:tc>
        <w:tc>
          <w:tcPr>
            <w:tcW w:w="1479" w:type="dxa"/>
            <w:noWrap/>
            <w:vAlign w:val="center"/>
          </w:tcPr>
          <w:p w14:paraId="30A3B822">
            <w:pPr>
              <w:spacing w:line="420" w:lineRule="exact"/>
              <w:ind w:firstLine="440" w:firstLineChars="200"/>
              <w:jc w:val="left"/>
              <w:rPr>
                <w:rFonts w:ascii="仿宋" w:hAnsi="仿宋" w:eastAsia="仿宋" w:cs="仿宋"/>
                <w:sz w:val="22"/>
              </w:rPr>
            </w:pPr>
          </w:p>
        </w:tc>
      </w:tr>
      <w:tr w14:paraId="00B6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20" w:type="dxa"/>
            <w:noWrap/>
            <w:vAlign w:val="center"/>
          </w:tcPr>
          <w:p w14:paraId="15B2B3DD">
            <w:pPr>
              <w:spacing w:line="420" w:lineRule="exact"/>
              <w:ind w:firstLine="440" w:firstLineChars="200"/>
              <w:jc w:val="left"/>
              <w:rPr>
                <w:rFonts w:ascii="仿宋" w:hAnsi="仿宋" w:eastAsia="仿宋" w:cs="仿宋"/>
                <w:sz w:val="22"/>
              </w:rPr>
            </w:pPr>
            <w:r>
              <w:rPr>
                <w:rFonts w:hint="eastAsia" w:ascii="仿宋" w:hAnsi="仿宋" w:eastAsia="仿宋" w:cs="仿宋"/>
                <w:sz w:val="22"/>
              </w:rPr>
              <w:t>2</w:t>
            </w:r>
          </w:p>
        </w:tc>
        <w:tc>
          <w:tcPr>
            <w:tcW w:w="1127" w:type="dxa"/>
            <w:noWrap/>
            <w:vAlign w:val="center"/>
          </w:tcPr>
          <w:p w14:paraId="427D4A38">
            <w:pPr>
              <w:spacing w:line="420" w:lineRule="exact"/>
              <w:jc w:val="left"/>
              <w:rPr>
                <w:rFonts w:ascii="仿宋" w:hAnsi="仿宋" w:eastAsia="仿宋" w:cs="仿宋"/>
                <w:sz w:val="22"/>
              </w:rPr>
            </w:pPr>
            <w:r>
              <w:rPr>
                <w:rFonts w:hint="eastAsia" w:ascii="仿宋" w:hAnsi="仿宋" w:eastAsia="仿宋" w:cs="仿宋"/>
                <w:sz w:val="22"/>
              </w:rPr>
              <w:t>服务周期</w:t>
            </w:r>
          </w:p>
        </w:tc>
        <w:tc>
          <w:tcPr>
            <w:tcW w:w="7518" w:type="dxa"/>
            <w:gridSpan w:val="2"/>
            <w:noWrap/>
            <w:vAlign w:val="center"/>
          </w:tcPr>
          <w:p w14:paraId="621640D4">
            <w:pPr>
              <w:spacing w:line="420" w:lineRule="exact"/>
              <w:ind w:firstLine="440" w:firstLineChars="200"/>
              <w:jc w:val="left"/>
              <w:rPr>
                <w:rFonts w:ascii="仿宋" w:hAnsi="仿宋" w:eastAsia="仿宋" w:cs="仿宋"/>
                <w:sz w:val="22"/>
              </w:rPr>
            </w:pPr>
          </w:p>
        </w:tc>
      </w:tr>
      <w:tr w14:paraId="315D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120" w:type="dxa"/>
            <w:noWrap/>
            <w:vAlign w:val="center"/>
          </w:tcPr>
          <w:p w14:paraId="1182852A">
            <w:pPr>
              <w:spacing w:line="420" w:lineRule="exact"/>
              <w:ind w:firstLine="440" w:firstLineChars="200"/>
              <w:jc w:val="left"/>
              <w:rPr>
                <w:rFonts w:ascii="仿宋" w:hAnsi="仿宋" w:eastAsia="仿宋" w:cs="仿宋"/>
                <w:sz w:val="22"/>
              </w:rPr>
            </w:pPr>
            <w:r>
              <w:rPr>
                <w:rFonts w:hint="eastAsia" w:ascii="仿宋" w:hAnsi="仿宋" w:eastAsia="仿宋" w:cs="仿宋"/>
                <w:sz w:val="22"/>
              </w:rPr>
              <w:t>3</w:t>
            </w:r>
          </w:p>
        </w:tc>
        <w:tc>
          <w:tcPr>
            <w:tcW w:w="1127" w:type="dxa"/>
            <w:noWrap/>
            <w:vAlign w:val="center"/>
          </w:tcPr>
          <w:p w14:paraId="4C6B4D9D">
            <w:pPr>
              <w:spacing w:line="420" w:lineRule="exact"/>
              <w:jc w:val="left"/>
              <w:rPr>
                <w:rFonts w:ascii="仿宋" w:hAnsi="仿宋" w:eastAsia="仿宋" w:cs="仿宋"/>
                <w:sz w:val="22"/>
              </w:rPr>
            </w:pPr>
            <w:r>
              <w:rPr>
                <w:rFonts w:hint="eastAsia" w:ascii="仿宋" w:hAnsi="仿宋" w:eastAsia="仿宋" w:cs="仿宋"/>
                <w:sz w:val="22"/>
              </w:rPr>
              <w:t>项目负责人</w:t>
            </w:r>
          </w:p>
        </w:tc>
        <w:tc>
          <w:tcPr>
            <w:tcW w:w="7518" w:type="dxa"/>
            <w:gridSpan w:val="2"/>
            <w:noWrap/>
            <w:vAlign w:val="center"/>
          </w:tcPr>
          <w:p w14:paraId="7A85F506">
            <w:pPr>
              <w:spacing w:line="420" w:lineRule="exact"/>
              <w:ind w:firstLine="440" w:firstLineChars="200"/>
              <w:jc w:val="left"/>
              <w:rPr>
                <w:rFonts w:ascii="仿宋" w:hAnsi="仿宋" w:eastAsia="仿宋" w:cs="仿宋"/>
                <w:sz w:val="22"/>
              </w:rPr>
            </w:pPr>
          </w:p>
        </w:tc>
      </w:tr>
      <w:tr w14:paraId="6A50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20" w:type="dxa"/>
            <w:noWrap/>
            <w:vAlign w:val="center"/>
          </w:tcPr>
          <w:p w14:paraId="5EBFDD62">
            <w:pPr>
              <w:spacing w:line="420" w:lineRule="exact"/>
              <w:ind w:firstLine="440" w:firstLineChars="200"/>
              <w:jc w:val="left"/>
              <w:rPr>
                <w:rFonts w:ascii="仿宋" w:hAnsi="仿宋" w:eastAsia="仿宋" w:cs="仿宋"/>
                <w:sz w:val="22"/>
              </w:rPr>
            </w:pPr>
            <w:r>
              <w:rPr>
                <w:rFonts w:hint="eastAsia" w:ascii="仿宋" w:hAnsi="仿宋" w:eastAsia="仿宋" w:cs="仿宋"/>
                <w:sz w:val="22"/>
              </w:rPr>
              <w:t>4</w:t>
            </w:r>
          </w:p>
        </w:tc>
        <w:tc>
          <w:tcPr>
            <w:tcW w:w="1127" w:type="dxa"/>
            <w:noWrap/>
            <w:vAlign w:val="center"/>
          </w:tcPr>
          <w:p w14:paraId="6465BF90">
            <w:pPr>
              <w:spacing w:line="420" w:lineRule="exact"/>
              <w:jc w:val="left"/>
              <w:rPr>
                <w:rFonts w:ascii="仿宋" w:hAnsi="仿宋" w:eastAsia="仿宋" w:cs="仿宋"/>
                <w:sz w:val="22"/>
              </w:rPr>
            </w:pPr>
            <w:r>
              <w:rPr>
                <w:rFonts w:hint="eastAsia" w:ascii="仿宋" w:hAnsi="仿宋" w:eastAsia="仿宋" w:cs="仿宋"/>
                <w:sz w:val="22"/>
              </w:rPr>
              <w:t>质量承诺</w:t>
            </w:r>
          </w:p>
        </w:tc>
        <w:tc>
          <w:tcPr>
            <w:tcW w:w="7518" w:type="dxa"/>
            <w:gridSpan w:val="2"/>
            <w:noWrap/>
            <w:vAlign w:val="center"/>
          </w:tcPr>
          <w:p w14:paraId="2DBEA6D5">
            <w:pPr>
              <w:spacing w:line="420" w:lineRule="exact"/>
              <w:ind w:firstLine="440" w:firstLineChars="200"/>
              <w:jc w:val="left"/>
              <w:rPr>
                <w:rFonts w:ascii="仿宋" w:hAnsi="仿宋" w:eastAsia="仿宋" w:cs="仿宋"/>
                <w:sz w:val="22"/>
              </w:rPr>
            </w:pPr>
          </w:p>
        </w:tc>
      </w:tr>
      <w:tr w14:paraId="051E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120" w:type="dxa"/>
            <w:noWrap/>
            <w:vAlign w:val="center"/>
          </w:tcPr>
          <w:p w14:paraId="0A0C39EC">
            <w:pPr>
              <w:spacing w:line="420" w:lineRule="exact"/>
              <w:ind w:firstLine="440" w:firstLineChars="200"/>
              <w:jc w:val="left"/>
              <w:rPr>
                <w:rFonts w:ascii="仿宋" w:hAnsi="仿宋" w:eastAsia="仿宋" w:cs="仿宋"/>
                <w:sz w:val="22"/>
              </w:rPr>
            </w:pPr>
            <w:r>
              <w:rPr>
                <w:rFonts w:hint="eastAsia" w:ascii="仿宋" w:hAnsi="仿宋" w:eastAsia="仿宋" w:cs="仿宋"/>
                <w:sz w:val="22"/>
              </w:rPr>
              <w:t>5</w:t>
            </w:r>
          </w:p>
        </w:tc>
        <w:tc>
          <w:tcPr>
            <w:tcW w:w="1127" w:type="dxa"/>
            <w:noWrap/>
            <w:vAlign w:val="center"/>
          </w:tcPr>
          <w:p w14:paraId="4B74F43F">
            <w:pPr>
              <w:spacing w:line="420" w:lineRule="exact"/>
              <w:jc w:val="left"/>
              <w:rPr>
                <w:rFonts w:ascii="仿宋" w:hAnsi="仿宋" w:eastAsia="仿宋" w:cs="仿宋"/>
                <w:sz w:val="22"/>
              </w:rPr>
            </w:pPr>
            <w:r>
              <w:rPr>
                <w:rFonts w:hint="eastAsia" w:ascii="仿宋" w:hAnsi="仿宋" w:eastAsia="仿宋" w:cs="仿宋"/>
                <w:sz w:val="22"/>
              </w:rPr>
              <w:t>备注</w:t>
            </w:r>
          </w:p>
        </w:tc>
        <w:tc>
          <w:tcPr>
            <w:tcW w:w="7518" w:type="dxa"/>
            <w:gridSpan w:val="2"/>
            <w:noWrap/>
            <w:vAlign w:val="center"/>
          </w:tcPr>
          <w:p w14:paraId="0C40F15B">
            <w:pPr>
              <w:spacing w:line="420" w:lineRule="exact"/>
              <w:ind w:firstLine="440" w:firstLineChars="200"/>
              <w:jc w:val="left"/>
              <w:rPr>
                <w:rFonts w:ascii="仿宋" w:hAnsi="仿宋" w:eastAsia="仿宋" w:cs="仿宋"/>
                <w:sz w:val="22"/>
              </w:rPr>
            </w:pPr>
          </w:p>
        </w:tc>
      </w:tr>
    </w:tbl>
    <w:p w14:paraId="4101C296">
      <w:pPr>
        <w:spacing w:line="420" w:lineRule="exact"/>
        <w:ind w:firstLine="440" w:firstLineChars="200"/>
        <w:jc w:val="left"/>
        <w:rPr>
          <w:rFonts w:ascii="仿宋" w:hAnsi="仿宋" w:eastAsia="仿宋" w:cs="仿宋"/>
          <w:sz w:val="22"/>
        </w:rPr>
      </w:pPr>
    </w:p>
    <w:p w14:paraId="7537DFC3">
      <w:pPr>
        <w:spacing w:line="420" w:lineRule="exact"/>
        <w:ind w:firstLine="440" w:firstLineChars="200"/>
        <w:jc w:val="left"/>
        <w:rPr>
          <w:rFonts w:ascii="仿宋" w:hAnsi="仿宋" w:eastAsia="仿宋" w:cs="仿宋"/>
          <w:sz w:val="22"/>
        </w:rPr>
      </w:pPr>
    </w:p>
    <w:p w14:paraId="73F50555">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投标人：                      （盖章）     </w:t>
      </w:r>
    </w:p>
    <w:p w14:paraId="5942309C">
      <w:pPr>
        <w:spacing w:line="420" w:lineRule="exact"/>
        <w:ind w:firstLine="440" w:firstLineChars="200"/>
        <w:jc w:val="left"/>
        <w:rPr>
          <w:rFonts w:ascii="仿宋" w:hAnsi="仿宋" w:eastAsia="仿宋" w:cs="仿宋"/>
          <w:sz w:val="22"/>
        </w:rPr>
      </w:pPr>
      <w:r>
        <w:rPr>
          <w:rFonts w:hint="eastAsia" w:ascii="仿宋" w:hAnsi="仿宋" w:eastAsia="仿宋" w:cs="仿宋"/>
          <w:sz w:val="22"/>
        </w:rPr>
        <w:t>法定代表人：                  （签字或盖章）</w:t>
      </w:r>
    </w:p>
    <w:p w14:paraId="4F53EA6F">
      <w:pPr>
        <w:spacing w:line="420" w:lineRule="exact"/>
        <w:ind w:firstLine="440" w:firstLineChars="200"/>
        <w:jc w:val="left"/>
        <w:rPr>
          <w:rFonts w:ascii="仿宋" w:hAnsi="仿宋" w:eastAsia="仿宋" w:cs="仿宋"/>
          <w:sz w:val="22"/>
        </w:rPr>
      </w:pPr>
      <w:r>
        <w:rPr>
          <w:rFonts w:hint="eastAsia" w:ascii="仿宋" w:hAnsi="仿宋" w:eastAsia="仿宋" w:cs="仿宋"/>
          <w:sz w:val="22"/>
        </w:rPr>
        <w:t>日期：   年   月   日</w:t>
      </w:r>
    </w:p>
    <w:p w14:paraId="1051D193">
      <w:pPr>
        <w:rPr>
          <w:rFonts w:ascii="仿宋" w:hAnsi="仿宋" w:eastAsia="仿宋" w:cs="仿宋"/>
          <w:sz w:val="22"/>
          <w:szCs w:val="24"/>
        </w:rPr>
      </w:pPr>
    </w:p>
    <w:p w14:paraId="7CC53644">
      <w:pPr>
        <w:rPr>
          <w:rFonts w:ascii="仿宋" w:hAnsi="仿宋" w:eastAsia="仿宋" w:cs="仿宋"/>
          <w:sz w:val="36"/>
          <w:szCs w:val="32"/>
        </w:rPr>
      </w:pPr>
      <w:bookmarkStart w:id="150" w:name="_Toc19552"/>
      <w:bookmarkStart w:id="151" w:name="_Toc20101"/>
      <w:bookmarkStart w:id="152" w:name="_Toc4985"/>
      <w:bookmarkStart w:id="153" w:name="_Toc26513"/>
      <w:bookmarkStart w:id="154" w:name="_Toc20863"/>
      <w:bookmarkStart w:id="155" w:name="_Toc5389"/>
      <w:bookmarkStart w:id="156" w:name="_Toc19644"/>
      <w:r>
        <w:rPr>
          <w:rFonts w:hint="eastAsia" w:ascii="仿宋" w:hAnsi="仿宋" w:eastAsia="仿宋" w:cs="仿宋"/>
          <w:sz w:val="36"/>
          <w:szCs w:val="32"/>
        </w:rPr>
        <w:br w:type="page"/>
      </w:r>
    </w:p>
    <w:p w14:paraId="099BAF40">
      <w:pPr>
        <w:pStyle w:val="3"/>
        <w:numPr>
          <w:ilvl w:val="1"/>
          <w:numId w:val="0"/>
        </w:numPr>
        <w:snapToGrid w:val="0"/>
        <w:spacing w:before="100" w:beforeAutospacing="1" w:after="100" w:afterAutospacing="1" w:line="360" w:lineRule="auto"/>
        <w:jc w:val="center"/>
        <w:rPr>
          <w:rFonts w:ascii="仿宋" w:hAnsi="仿宋" w:eastAsia="仿宋" w:cs="仿宋"/>
          <w:sz w:val="36"/>
          <w:szCs w:val="32"/>
        </w:rPr>
      </w:pPr>
      <w:bookmarkStart w:id="157" w:name="_Toc22320"/>
      <w:r>
        <w:rPr>
          <w:rFonts w:hint="eastAsia" w:ascii="仿宋" w:hAnsi="仿宋" w:eastAsia="仿宋" w:cs="仿宋"/>
          <w:sz w:val="36"/>
          <w:szCs w:val="32"/>
        </w:rPr>
        <w:t>目录</w:t>
      </w:r>
      <w:bookmarkEnd w:id="157"/>
    </w:p>
    <w:p w14:paraId="2C5B7820">
      <w:pPr>
        <w:spacing w:line="420" w:lineRule="exact"/>
        <w:jc w:val="center"/>
        <w:rPr>
          <w:rFonts w:ascii="仿宋" w:hAnsi="仿宋" w:eastAsia="仿宋" w:cs="仿宋"/>
          <w:sz w:val="28"/>
          <w:szCs w:val="28"/>
        </w:rPr>
      </w:pPr>
      <w:r>
        <w:rPr>
          <w:rFonts w:hint="eastAsia" w:ascii="仿宋" w:hAnsi="仿宋" w:eastAsia="仿宋" w:cs="仿宋"/>
          <w:sz w:val="28"/>
          <w:szCs w:val="28"/>
        </w:rPr>
        <w:t>（格式自拟）</w:t>
      </w:r>
    </w:p>
    <w:p w14:paraId="704D5C2A">
      <w:pPr>
        <w:rPr>
          <w:rFonts w:ascii="仿宋" w:hAnsi="仿宋" w:eastAsia="仿宋" w:cs="仿宋"/>
          <w:sz w:val="22"/>
          <w:szCs w:val="32"/>
        </w:rPr>
      </w:pPr>
      <w:r>
        <w:rPr>
          <w:rFonts w:hint="eastAsia" w:ascii="仿宋" w:hAnsi="仿宋" w:eastAsia="仿宋" w:cs="仿宋"/>
          <w:sz w:val="22"/>
          <w:szCs w:val="32"/>
        </w:rPr>
        <w:br w:type="page"/>
      </w:r>
    </w:p>
    <w:p w14:paraId="6CFB8616">
      <w:pPr>
        <w:pStyle w:val="2"/>
        <w:numPr>
          <w:ilvl w:val="3"/>
          <w:numId w:val="0"/>
        </w:numPr>
        <w:tabs>
          <w:tab w:val="left" w:pos="360"/>
          <w:tab w:val="clear" w:pos="720"/>
          <w:tab w:val="clear" w:pos="1665"/>
        </w:tabs>
        <w:autoSpaceDE w:val="0"/>
        <w:autoSpaceDN w:val="0"/>
        <w:spacing w:line="800" w:lineRule="exact"/>
        <w:jc w:val="center"/>
        <w:rPr>
          <w:rFonts w:ascii="仿宋" w:hAnsi="仿宋" w:eastAsia="仿宋" w:cs="仿宋"/>
          <w:sz w:val="52"/>
          <w:szCs w:val="52"/>
        </w:rPr>
      </w:pPr>
      <w:bookmarkStart w:id="158" w:name="_Toc4294"/>
      <w:r>
        <w:rPr>
          <w:rFonts w:hint="eastAsia" w:ascii="仿宋" w:hAnsi="仿宋" w:eastAsia="仿宋" w:cs="仿宋"/>
          <w:sz w:val="52"/>
          <w:szCs w:val="52"/>
        </w:rPr>
        <w:t>资格审查部分</w:t>
      </w:r>
      <w:bookmarkEnd w:id="150"/>
      <w:bookmarkEnd w:id="151"/>
      <w:bookmarkEnd w:id="152"/>
      <w:bookmarkEnd w:id="153"/>
      <w:bookmarkEnd w:id="154"/>
      <w:bookmarkEnd w:id="155"/>
      <w:bookmarkEnd w:id="156"/>
      <w:bookmarkEnd w:id="158"/>
    </w:p>
    <w:p w14:paraId="49C38411">
      <w:pPr>
        <w:rPr>
          <w:rFonts w:ascii="仿宋" w:hAnsi="仿宋" w:eastAsia="仿宋" w:cs="仿宋"/>
          <w:sz w:val="52"/>
          <w:szCs w:val="52"/>
        </w:rPr>
      </w:pPr>
    </w:p>
    <w:p w14:paraId="74B3B1A9">
      <w:pPr>
        <w:pStyle w:val="9"/>
        <w:rPr>
          <w:rFonts w:ascii="仿宋" w:hAnsi="仿宋" w:eastAsia="仿宋" w:cs="仿宋"/>
          <w:sz w:val="52"/>
          <w:szCs w:val="52"/>
        </w:rPr>
      </w:pPr>
    </w:p>
    <w:p w14:paraId="248DE5E8">
      <w:pPr>
        <w:pStyle w:val="10"/>
        <w:rPr>
          <w:rFonts w:ascii="仿宋" w:hAnsi="仿宋" w:eastAsia="仿宋" w:cs="仿宋"/>
          <w:sz w:val="52"/>
          <w:szCs w:val="52"/>
        </w:rPr>
      </w:pPr>
    </w:p>
    <w:p w14:paraId="44016FB1">
      <w:pPr>
        <w:rPr>
          <w:rFonts w:ascii="仿宋" w:hAnsi="仿宋" w:eastAsia="仿宋" w:cs="仿宋"/>
          <w:sz w:val="52"/>
          <w:szCs w:val="52"/>
        </w:rPr>
      </w:pPr>
    </w:p>
    <w:p w14:paraId="344039FB">
      <w:pPr>
        <w:pStyle w:val="9"/>
        <w:rPr>
          <w:rFonts w:ascii="仿宋" w:hAnsi="仿宋" w:eastAsia="仿宋" w:cs="仿宋"/>
          <w:sz w:val="52"/>
          <w:szCs w:val="52"/>
        </w:rPr>
      </w:pPr>
    </w:p>
    <w:p w14:paraId="37047DA7">
      <w:pPr>
        <w:rPr>
          <w:rFonts w:ascii="仿宋" w:hAnsi="仿宋" w:eastAsia="仿宋" w:cs="仿宋"/>
          <w:sz w:val="52"/>
          <w:szCs w:val="52"/>
        </w:rPr>
      </w:pPr>
    </w:p>
    <w:p w14:paraId="0CE1159B">
      <w:pPr>
        <w:rPr>
          <w:rFonts w:ascii="仿宋" w:hAnsi="仿宋" w:eastAsia="仿宋" w:cs="仿宋"/>
          <w:sz w:val="52"/>
          <w:szCs w:val="52"/>
        </w:rPr>
      </w:pPr>
    </w:p>
    <w:p w14:paraId="0A68852D">
      <w:pPr>
        <w:rPr>
          <w:rFonts w:ascii="仿宋" w:hAnsi="仿宋" w:eastAsia="仿宋" w:cs="仿宋"/>
          <w:sz w:val="52"/>
          <w:szCs w:val="52"/>
        </w:rPr>
      </w:pPr>
    </w:p>
    <w:p w14:paraId="55C00CA7">
      <w:pPr>
        <w:pStyle w:val="31"/>
        <w:spacing w:line="500" w:lineRule="exact"/>
        <w:rPr>
          <w:rFonts w:ascii="仿宋" w:hAnsi="仿宋" w:eastAsia="仿宋" w:cs="仿宋"/>
          <w:color w:val="auto"/>
          <w:sz w:val="21"/>
          <w:szCs w:val="21"/>
        </w:rPr>
      </w:pPr>
      <w:r>
        <w:rPr>
          <w:rFonts w:hint="eastAsia" w:ascii="仿宋" w:hAnsi="仿宋" w:eastAsia="仿宋" w:cs="仿宋"/>
          <w:color w:val="auto"/>
          <w:sz w:val="21"/>
          <w:szCs w:val="21"/>
        </w:rPr>
        <w:t>注：供应商应填写和提交下述规定的有关资料。所附格式要求填写的全部内容都必须填写。供应商应保证全部声明和填写的内容是真实的和正确的。供应商提交的材料将被保密，但不退还。</w:t>
      </w:r>
    </w:p>
    <w:p w14:paraId="697E5143">
      <w:pPr>
        <w:widowControl/>
        <w:jc w:val="left"/>
        <w:rPr>
          <w:rFonts w:ascii="仿宋" w:hAnsi="仿宋" w:eastAsia="仿宋" w:cs="仿宋"/>
          <w:b/>
          <w:kern w:val="0"/>
          <w:sz w:val="32"/>
          <w:szCs w:val="32"/>
        </w:rPr>
      </w:pPr>
      <w:bookmarkStart w:id="159" w:name="_Toc4478"/>
      <w:bookmarkStart w:id="160" w:name="_Toc32021"/>
      <w:r>
        <w:rPr>
          <w:rFonts w:ascii="仿宋" w:hAnsi="仿宋" w:eastAsia="仿宋" w:cs="仿宋"/>
          <w:szCs w:val="32"/>
        </w:rPr>
        <w:br w:type="page"/>
      </w:r>
    </w:p>
    <w:p w14:paraId="0F9ECD7D">
      <w:pPr>
        <w:pStyle w:val="3"/>
        <w:numPr>
          <w:ilvl w:val="1"/>
          <w:numId w:val="0"/>
        </w:numPr>
        <w:tabs>
          <w:tab w:val="left" w:pos="1021"/>
          <w:tab w:val="clear" w:pos="720"/>
          <w:tab w:val="clear" w:pos="3690"/>
        </w:tabs>
        <w:spacing w:before="0"/>
        <w:jc w:val="center"/>
        <w:rPr>
          <w:rFonts w:ascii="仿宋" w:hAnsi="仿宋" w:eastAsia="仿宋" w:cs="仿宋"/>
          <w:szCs w:val="32"/>
        </w:rPr>
      </w:pPr>
      <w:bookmarkStart w:id="161" w:name="_Toc10384"/>
      <w:r>
        <w:rPr>
          <w:rFonts w:hint="eastAsia" w:ascii="仿宋" w:hAnsi="仿宋" w:eastAsia="仿宋" w:cs="仿宋"/>
          <w:szCs w:val="32"/>
        </w:rPr>
        <w:t>一、资格证明文件</w:t>
      </w:r>
      <w:bookmarkEnd w:id="159"/>
      <w:bookmarkEnd w:id="160"/>
      <w:bookmarkEnd w:id="161"/>
    </w:p>
    <w:p w14:paraId="71BF2F0D">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（一）独立承担民事责任的能力</w:t>
      </w:r>
    </w:p>
    <w:p w14:paraId="7DA6F7B5">
      <w:pPr>
        <w:spacing w:line="500" w:lineRule="exact"/>
        <w:ind w:firstLine="480" w:firstLineChars="200"/>
        <w:rPr>
          <w:rFonts w:ascii="仿宋" w:hAnsi="仿宋" w:eastAsia="仿宋" w:cs="仿宋"/>
          <w:sz w:val="24"/>
        </w:rPr>
      </w:pPr>
      <w:bookmarkStart w:id="162" w:name="_Toc15941"/>
      <w:bookmarkStart w:id="163" w:name="_Toc20864"/>
      <w:r>
        <w:rPr>
          <w:rFonts w:hint="eastAsia" w:ascii="仿宋" w:hAnsi="仿宋" w:eastAsia="仿宋" w:cs="仿宋"/>
          <w:sz w:val="24"/>
        </w:rPr>
        <w:t>提供法人或者其他组织的有效营业执照等证明文件。</w:t>
      </w:r>
      <w:bookmarkEnd w:id="162"/>
      <w:bookmarkEnd w:id="163"/>
    </w:p>
    <w:p w14:paraId="457830D6">
      <w:pPr>
        <w:spacing w:line="500" w:lineRule="exact"/>
        <w:ind w:firstLine="482" w:firstLineChars="200"/>
        <w:rPr>
          <w:rFonts w:ascii="仿宋" w:hAnsi="仿宋" w:eastAsia="仿宋" w:cs="仿宋"/>
          <w:b/>
          <w:bCs/>
          <w:sz w:val="24"/>
        </w:rPr>
      </w:pPr>
      <w:bookmarkStart w:id="164" w:name="_Toc19478"/>
      <w:bookmarkStart w:id="165" w:name="_Toc16500"/>
      <w:r>
        <w:rPr>
          <w:rFonts w:hint="eastAsia" w:ascii="仿宋" w:hAnsi="仿宋" w:eastAsia="仿宋" w:cs="仿宋"/>
          <w:b/>
          <w:bCs/>
          <w:sz w:val="24"/>
        </w:rPr>
        <w:t>（二）良好的商业信誉和健全的财务会计制度</w:t>
      </w:r>
      <w:bookmarkEnd w:id="164"/>
      <w:bookmarkEnd w:id="165"/>
    </w:p>
    <w:p w14:paraId="6942F3B2">
      <w:pPr>
        <w:spacing w:line="500" w:lineRule="exact"/>
        <w:ind w:firstLine="480" w:firstLineChars="200"/>
        <w:rPr>
          <w:rFonts w:ascii="仿宋" w:hAnsi="仿宋" w:eastAsia="仿宋" w:cs="仿宋"/>
          <w:sz w:val="24"/>
        </w:rPr>
      </w:pPr>
      <w:bookmarkStart w:id="166" w:name="_Toc1202"/>
      <w:bookmarkStart w:id="167" w:name="_Toc28510"/>
      <w:r>
        <w:rPr>
          <w:rFonts w:hint="eastAsia" w:ascii="仿宋" w:hAnsi="仿宋" w:eastAsia="仿宋" w:cs="仿宋"/>
          <w:sz w:val="24"/>
        </w:rPr>
        <w:t>（1）商业信誉：在国家企业信用信息公示系统（www.gsxt.gov.cn）中未出现列入严重违法失信企业名单（黑名单），由采购人在开标前查询所有供应商的情况并截图；</w:t>
      </w:r>
    </w:p>
    <w:p w14:paraId="68C9CD43">
      <w:pPr>
        <w:spacing w:line="500" w:lineRule="exact"/>
        <w:ind w:firstLine="480" w:firstLineChars="200"/>
        <w:rPr>
          <w:rFonts w:ascii="仿宋" w:hAnsi="仿宋" w:eastAsia="仿宋" w:cs="仿宋"/>
          <w:sz w:val="24"/>
          <w:szCs w:val="24"/>
        </w:rPr>
      </w:pPr>
      <w:r>
        <w:rPr>
          <w:rFonts w:hint="eastAsia" w:ascii="仿宋" w:hAnsi="仿宋" w:eastAsia="仿宋" w:cs="仿宋"/>
          <w:color w:val="0000FF"/>
          <w:sz w:val="24"/>
        </w:rPr>
        <w:t>（2）财务会计制度：</w:t>
      </w:r>
      <w:r>
        <w:rPr>
          <w:rFonts w:hint="eastAsia" w:ascii="仿宋" w:hAnsi="仿宋" w:eastAsia="仿宋" w:cs="仿宋"/>
          <w:sz w:val="24"/>
          <w:szCs w:val="24"/>
        </w:rPr>
        <w:t>提供经第三方审计机构审计的2021年度至今任意一年的财务状况审计报告或基本开户银行出具的资信证明（新成立无年审报告的无需提供，对该事项进行说明）。</w:t>
      </w:r>
    </w:p>
    <w:p w14:paraId="60A1CC13">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（三）具有履行合同所必需的设备和专业技术能力</w:t>
      </w:r>
      <w:bookmarkEnd w:id="166"/>
      <w:bookmarkEnd w:id="167"/>
    </w:p>
    <w:p w14:paraId="360AFF41">
      <w:pPr>
        <w:spacing w:line="500" w:lineRule="exact"/>
        <w:ind w:firstLine="480" w:firstLineChars="200"/>
        <w:rPr>
          <w:rFonts w:ascii="仿宋" w:hAnsi="仿宋" w:eastAsia="仿宋" w:cs="仿宋"/>
          <w:sz w:val="24"/>
        </w:rPr>
      </w:pPr>
      <w:bookmarkStart w:id="168" w:name="_Toc21857"/>
      <w:bookmarkStart w:id="169" w:name="_Toc21030"/>
      <w:r>
        <w:rPr>
          <w:rFonts w:hint="eastAsia" w:ascii="仿宋" w:hAnsi="仿宋" w:eastAsia="仿宋" w:cs="仿宋"/>
          <w:sz w:val="24"/>
        </w:rPr>
        <w:t>(1)设备证明：</w:t>
      </w:r>
      <w:bookmarkEnd w:id="168"/>
      <w:bookmarkEnd w:id="169"/>
    </w:p>
    <w:p w14:paraId="150EA4DB">
      <w:pPr>
        <w:spacing w:line="500" w:lineRule="exact"/>
        <w:ind w:firstLine="480" w:firstLineChars="200"/>
        <w:rPr>
          <w:rFonts w:ascii="仿宋" w:hAnsi="仿宋" w:eastAsia="仿宋" w:cs="仿宋"/>
          <w:sz w:val="24"/>
        </w:rPr>
      </w:pPr>
      <w:r>
        <w:rPr>
          <w:rFonts w:hint="eastAsia" w:ascii="仿宋" w:hAnsi="仿宋" w:eastAsia="仿宋" w:cs="仿宋"/>
          <w:sz w:val="24"/>
        </w:rPr>
        <w:t>提供履行合同所必须设备的证明材料或书面声明原件。</w:t>
      </w:r>
    </w:p>
    <w:p w14:paraId="300531C0">
      <w:pPr>
        <w:spacing w:line="500" w:lineRule="exact"/>
        <w:ind w:firstLine="480" w:firstLineChars="200"/>
        <w:rPr>
          <w:rFonts w:ascii="仿宋" w:hAnsi="仿宋" w:eastAsia="仿宋" w:cs="仿宋"/>
          <w:sz w:val="24"/>
        </w:rPr>
      </w:pPr>
      <w:bookmarkStart w:id="170" w:name="_Toc23238"/>
      <w:bookmarkStart w:id="171" w:name="_Toc4212"/>
      <w:r>
        <w:rPr>
          <w:rFonts w:hint="eastAsia" w:ascii="仿宋" w:hAnsi="仿宋" w:eastAsia="仿宋" w:cs="仿宋"/>
          <w:sz w:val="24"/>
        </w:rPr>
        <w:t>(2)专业技术能力证明材料：</w:t>
      </w:r>
      <w:bookmarkEnd w:id="170"/>
      <w:bookmarkEnd w:id="171"/>
    </w:p>
    <w:p w14:paraId="706B214D">
      <w:pPr>
        <w:spacing w:line="500" w:lineRule="exact"/>
        <w:ind w:firstLine="480" w:firstLineChars="200"/>
        <w:rPr>
          <w:rFonts w:ascii="仿宋" w:hAnsi="仿宋" w:eastAsia="仿宋" w:cs="仿宋"/>
          <w:sz w:val="24"/>
        </w:rPr>
      </w:pPr>
      <w:r>
        <w:rPr>
          <w:rFonts w:hint="eastAsia" w:ascii="仿宋" w:hAnsi="仿宋" w:eastAsia="仿宋" w:cs="仿宋"/>
          <w:sz w:val="24"/>
        </w:rPr>
        <w:t>提供履行合同所必须的专业技术能力的证明材料或书面声明原件。</w:t>
      </w:r>
    </w:p>
    <w:p w14:paraId="0847310E">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（四）具有依法缴纳税收和社会保障资金的良好记录</w:t>
      </w:r>
    </w:p>
    <w:p w14:paraId="7738629D">
      <w:pPr>
        <w:spacing w:line="500" w:lineRule="exact"/>
        <w:ind w:firstLine="480" w:firstLineChars="200"/>
        <w:rPr>
          <w:rFonts w:ascii="仿宋" w:hAnsi="仿宋" w:eastAsia="仿宋" w:cs="仿宋"/>
          <w:sz w:val="24"/>
        </w:rPr>
      </w:pPr>
      <w:r>
        <w:rPr>
          <w:rFonts w:hint="eastAsia" w:ascii="仿宋" w:hAnsi="仿宋" w:eastAsia="仿宋" w:cs="仿宋"/>
          <w:sz w:val="24"/>
        </w:rPr>
        <w:t>（1）提供2023年</w:t>
      </w:r>
      <w:r>
        <w:rPr>
          <w:rFonts w:ascii="仿宋" w:hAnsi="仿宋" w:eastAsia="仿宋" w:cs="仿宋"/>
          <w:sz w:val="24"/>
        </w:rPr>
        <w:t>10</w:t>
      </w:r>
      <w:r>
        <w:rPr>
          <w:rFonts w:hint="eastAsia" w:ascii="仿宋" w:hAnsi="仿宋" w:eastAsia="仿宋" w:cs="仿宋"/>
          <w:sz w:val="24"/>
        </w:rPr>
        <w:t>月至今期间（税款所属时期）任意2个月的税务局税收通用缴款书复印件或银行电子缴税（费）凭证复印件或税务局出具纳税情况的相关证明复印件(成立未满一年的提供成立以来的税收缴纳凭证或相关情况说明；依法免税的供应商，应提供相应文件证明其依法免税)；</w:t>
      </w:r>
    </w:p>
    <w:p w14:paraId="361818F1">
      <w:pPr>
        <w:spacing w:line="500" w:lineRule="exact"/>
        <w:ind w:firstLine="480" w:firstLineChars="200"/>
        <w:rPr>
          <w:rFonts w:ascii="仿宋" w:hAnsi="仿宋" w:eastAsia="仿宋" w:cs="仿宋"/>
          <w:sz w:val="24"/>
        </w:rPr>
      </w:pPr>
      <w:r>
        <w:rPr>
          <w:rFonts w:hint="eastAsia" w:ascii="仿宋" w:hAnsi="仿宋" w:eastAsia="仿宋" w:cs="仿宋"/>
          <w:sz w:val="24"/>
        </w:rPr>
        <w:t>（2）提供2023年</w:t>
      </w:r>
      <w:r>
        <w:rPr>
          <w:rFonts w:ascii="仿宋" w:hAnsi="仿宋" w:eastAsia="仿宋" w:cs="仿宋"/>
          <w:sz w:val="24"/>
        </w:rPr>
        <w:t>1</w:t>
      </w:r>
      <w:r>
        <w:rPr>
          <w:rFonts w:hint="eastAsia" w:ascii="仿宋" w:hAnsi="仿宋" w:eastAsia="仿宋" w:cs="仿宋"/>
          <w:sz w:val="24"/>
        </w:rPr>
        <w:t>0月至今期间（费款所属时期）任意2个月的社会保险费缴款书复印件或银行电子缴税（费）凭证复印件或社保管理部门出具的有效的缴款证明复印件。（成立未满一年的提供成立以来的社保资金缴纳凭证或相关情况说明；不需要缴纳社会保障资金的供应商，应提供相应文件证明其不需要缴纳社会保障资金)。</w:t>
      </w:r>
    </w:p>
    <w:p w14:paraId="74CD3EDC">
      <w:pPr>
        <w:spacing w:line="500" w:lineRule="exact"/>
        <w:ind w:firstLine="482" w:firstLineChars="200"/>
        <w:rPr>
          <w:rFonts w:ascii="仿宋" w:hAnsi="仿宋" w:eastAsia="仿宋" w:cs="仿宋"/>
          <w:sz w:val="24"/>
        </w:rPr>
      </w:pPr>
      <w:bookmarkStart w:id="172" w:name="_Toc13626"/>
      <w:bookmarkStart w:id="173" w:name="_Toc24775"/>
      <w:r>
        <w:rPr>
          <w:rFonts w:hint="eastAsia" w:ascii="仿宋" w:hAnsi="仿宋" w:eastAsia="仿宋" w:cs="仿宋"/>
          <w:b/>
          <w:bCs/>
          <w:sz w:val="24"/>
        </w:rPr>
        <w:t>（五）经营活动中没有重大违法记录证明</w:t>
      </w:r>
      <w:bookmarkEnd w:id="172"/>
      <w:bookmarkEnd w:id="173"/>
    </w:p>
    <w:p w14:paraId="0D7B8963">
      <w:pPr>
        <w:spacing w:line="500" w:lineRule="exact"/>
        <w:ind w:firstLine="480" w:firstLineChars="200"/>
        <w:rPr>
          <w:rFonts w:ascii="仿宋" w:hAnsi="仿宋" w:eastAsia="仿宋" w:cs="仿宋"/>
          <w:sz w:val="24"/>
        </w:rPr>
      </w:pPr>
      <w:r>
        <w:rPr>
          <w:rFonts w:hint="eastAsia" w:ascii="仿宋" w:hAnsi="仿宋" w:eastAsia="仿宋" w:cs="仿宋"/>
          <w:sz w:val="24"/>
        </w:rPr>
        <w:t>提供参加本次政府采购活动前三年内在经营活动中没有重大违法记录的书面声明原件。</w:t>
      </w:r>
    </w:p>
    <w:p w14:paraId="0A975637">
      <w:pPr>
        <w:numPr>
          <w:ilvl w:val="0"/>
          <w:numId w:val="5"/>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法律、行政法规规定的其他条件</w:t>
      </w:r>
    </w:p>
    <w:p w14:paraId="1DF3909C">
      <w:pPr>
        <w:spacing w:line="500" w:lineRule="exact"/>
        <w:ind w:firstLine="420" w:firstLineChars="200"/>
        <w:rPr>
          <w:rFonts w:ascii="仿宋" w:hAnsi="仿宋" w:eastAsia="仿宋" w:cs="仿宋"/>
        </w:rPr>
      </w:pPr>
    </w:p>
    <w:p w14:paraId="39624E58">
      <w:pPr>
        <w:pStyle w:val="3"/>
        <w:numPr>
          <w:ilvl w:val="1"/>
          <w:numId w:val="0"/>
        </w:numPr>
        <w:tabs>
          <w:tab w:val="left" w:pos="1021"/>
          <w:tab w:val="clear" w:pos="720"/>
          <w:tab w:val="clear" w:pos="3690"/>
        </w:tabs>
        <w:spacing w:before="0"/>
        <w:jc w:val="center"/>
        <w:rPr>
          <w:rFonts w:ascii="仿宋" w:hAnsi="仿宋" w:eastAsia="仿宋" w:cs="仿宋"/>
          <w:szCs w:val="32"/>
        </w:rPr>
      </w:pPr>
      <w:bookmarkStart w:id="174" w:name="_Toc4885"/>
      <w:bookmarkStart w:id="175" w:name="_Toc574"/>
      <w:bookmarkStart w:id="176" w:name="_Toc7363"/>
      <w:bookmarkStart w:id="177" w:name="_Toc24970"/>
      <w:bookmarkStart w:id="178" w:name="_Toc3206"/>
      <w:bookmarkStart w:id="179" w:name="_Toc26203"/>
      <w:bookmarkStart w:id="180" w:name="_Toc27296"/>
      <w:r>
        <w:rPr>
          <w:rFonts w:hint="eastAsia" w:ascii="仿宋" w:hAnsi="仿宋" w:eastAsia="仿宋" w:cs="仿宋"/>
          <w:szCs w:val="32"/>
        </w:rPr>
        <w:t>二、特定条件证明文件</w:t>
      </w:r>
      <w:bookmarkEnd w:id="174"/>
      <w:bookmarkEnd w:id="175"/>
      <w:bookmarkEnd w:id="176"/>
      <w:bookmarkEnd w:id="177"/>
      <w:bookmarkEnd w:id="178"/>
    </w:p>
    <w:p w14:paraId="00E9CF55">
      <w:pPr>
        <w:spacing w:line="500" w:lineRule="exact"/>
        <w:ind w:firstLine="480" w:firstLineChars="200"/>
        <w:rPr>
          <w:rFonts w:ascii="仿宋" w:hAnsi="仿宋" w:eastAsia="仿宋" w:cs="仿宋"/>
          <w:sz w:val="24"/>
        </w:rPr>
      </w:pPr>
      <w:r>
        <w:rPr>
          <w:rFonts w:hint="eastAsia" w:ascii="仿宋" w:hAnsi="仿宋" w:eastAsia="仿宋" w:cs="仿宋"/>
          <w:sz w:val="24"/>
        </w:rPr>
        <w:t>详见资格条件中特定条件，并提供证明材料。</w:t>
      </w:r>
    </w:p>
    <w:p w14:paraId="6FFBDF63">
      <w:pPr>
        <w:spacing w:line="500" w:lineRule="exact"/>
        <w:ind w:firstLine="482" w:firstLineChars="200"/>
        <w:rPr>
          <w:rFonts w:ascii="仿宋" w:hAnsi="仿宋" w:eastAsia="仿宋" w:cs="仿宋"/>
          <w:b/>
          <w:bCs/>
          <w:sz w:val="24"/>
        </w:rPr>
      </w:pPr>
    </w:p>
    <w:bookmarkEnd w:id="179"/>
    <w:bookmarkEnd w:id="180"/>
    <w:p w14:paraId="1F959BF2">
      <w:pPr>
        <w:pStyle w:val="3"/>
        <w:numPr>
          <w:ilvl w:val="1"/>
          <w:numId w:val="0"/>
        </w:numPr>
        <w:tabs>
          <w:tab w:val="left" w:pos="1021"/>
          <w:tab w:val="clear" w:pos="720"/>
          <w:tab w:val="clear" w:pos="3690"/>
        </w:tabs>
        <w:spacing w:before="0"/>
        <w:jc w:val="center"/>
        <w:rPr>
          <w:rFonts w:ascii="仿宋" w:hAnsi="仿宋" w:eastAsia="仿宋" w:cs="仿宋"/>
          <w:szCs w:val="32"/>
        </w:rPr>
      </w:pPr>
      <w:bookmarkStart w:id="181" w:name="_Toc30184"/>
      <w:bookmarkStart w:id="182" w:name="_Toc14721"/>
      <w:bookmarkStart w:id="183" w:name="_Toc14037"/>
      <w:bookmarkStart w:id="184" w:name="_Toc16353"/>
      <w:bookmarkStart w:id="185" w:name="_Toc1535"/>
      <w:bookmarkStart w:id="186" w:name="_Toc16232"/>
      <w:bookmarkStart w:id="187" w:name="_Toc5479"/>
      <w:r>
        <w:rPr>
          <w:rFonts w:hint="eastAsia" w:ascii="仿宋" w:hAnsi="仿宋" w:eastAsia="仿宋" w:cs="仿宋"/>
          <w:szCs w:val="32"/>
        </w:rPr>
        <w:t>三、信用查询证明材料</w:t>
      </w:r>
      <w:bookmarkEnd w:id="181"/>
      <w:bookmarkEnd w:id="182"/>
      <w:bookmarkEnd w:id="183"/>
      <w:bookmarkEnd w:id="184"/>
      <w:bookmarkEnd w:id="185"/>
    </w:p>
    <w:p w14:paraId="122185F9">
      <w:pPr>
        <w:spacing w:line="500" w:lineRule="exact"/>
        <w:ind w:firstLine="480" w:firstLineChars="200"/>
        <w:rPr>
          <w:rFonts w:ascii="仿宋" w:hAnsi="仿宋" w:eastAsia="仿宋" w:cs="仿宋"/>
          <w:sz w:val="24"/>
        </w:rPr>
      </w:pPr>
      <w:r>
        <w:rPr>
          <w:rFonts w:hint="eastAsia" w:ascii="仿宋" w:hAnsi="仿宋" w:eastAsia="仿宋" w:cs="仿宋"/>
          <w:sz w:val="24"/>
        </w:rPr>
        <w:t>(一)未列入失信被执行人记录：</w:t>
      </w:r>
      <w:bookmarkEnd w:id="186"/>
      <w:bookmarkEnd w:id="187"/>
    </w:p>
    <w:p w14:paraId="2BCDBBFA">
      <w:pPr>
        <w:spacing w:line="500" w:lineRule="exact"/>
        <w:ind w:firstLine="480" w:firstLineChars="200"/>
        <w:rPr>
          <w:rFonts w:ascii="仿宋" w:hAnsi="仿宋" w:eastAsia="仿宋" w:cs="仿宋"/>
          <w:sz w:val="24"/>
        </w:rPr>
      </w:pPr>
      <w:r>
        <w:rPr>
          <w:rFonts w:hint="eastAsia" w:ascii="仿宋" w:hAnsi="仿宋" w:eastAsia="仿宋" w:cs="仿宋"/>
          <w:sz w:val="24"/>
        </w:rPr>
        <w:t>在“信用中国”网站(www.creditchina.gov.cn)未被列入失信被执行人记录，提供信用查询截止时点：本项目采购公告发布之日起至投标截止时间。（查询结果以采购人查询结果为准，供应商无需再提供）。</w:t>
      </w:r>
    </w:p>
    <w:p w14:paraId="39BEEB6E">
      <w:pPr>
        <w:spacing w:line="500" w:lineRule="exact"/>
        <w:ind w:firstLine="480" w:firstLineChars="200"/>
        <w:rPr>
          <w:rFonts w:ascii="仿宋" w:hAnsi="仿宋" w:eastAsia="仿宋" w:cs="仿宋"/>
          <w:sz w:val="24"/>
        </w:rPr>
      </w:pPr>
      <w:bookmarkStart w:id="188" w:name="_Toc15018"/>
      <w:bookmarkStart w:id="189" w:name="_Toc23542"/>
      <w:r>
        <w:rPr>
          <w:rFonts w:hint="eastAsia" w:ascii="仿宋" w:hAnsi="仿宋" w:eastAsia="仿宋" w:cs="仿宋"/>
          <w:sz w:val="24"/>
        </w:rPr>
        <w:t>(二)未列入重大税收违法案件当事人名单：</w:t>
      </w:r>
      <w:bookmarkEnd w:id="188"/>
      <w:bookmarkEnd w:id="189"/>
    </w:p>
    <w:p w14:paraId="44A5928C">
      <w:pPr>
        <w:spacing w:line="500" w:lineRule="exact"/>
        <w:ind w:firstLine="480" w:firstLineChars="200"/>
        <w:rPr>
          <w:rFonts w:ascii="仿宋" w:hAnsi="仿宋" w:eastAsia="仿宋" w:cs="仿宋"/>
          <w:sz w:val="24"/>
        </w:rPr>
      </w:pPr>
      <w:r>
        <w:rPr>
          <w:rFonts w:hint="eastAsia" w:ascii="仿宋" w:hAnsi="仿宋" w:eastAsia="仿宋" w:cs="仿宋"/>
          <w:sz w:val="24"/>
        </w:rPr>
        <w:t>在“信用中国”网站(www.creditchina.gov.cn)未被列入重大税收违法案件当事人名单，提供信用查询截止时点： 本项目采购公告发布之日起至投标截止时间。（查询结果以采购人查询结果为准，供应商无需再提供）。</w:t>
      </w:r>
    </w:p>
    <w:p w14:paraId="69AC10EE">
      <w:pPr>
        <w:spacing w:line="500" w:lineRule="exact"/>
        <w:ind w:firstLine="480" w:firstLineChars="200"/>
        <w:rPr>
          <w:rFonts w:ascii="仿宋" w:hAnsi="仿宋" w:eastAsia="仿宋" w:cs="仿宋"/>
          <w:sz w:val="24"/>
        </w:rPr>
      </w:pPr>
      <w:bookmarkStart w:id="190" w:name="_Toc28438"/>
      <w:bookmarkStart w:id="191" w:name="_Toc5512"/>
      <w:r>
        <w:rPr>
          <w:rFonts w:hint="eastAsia" w:ascii="仿宋" w:hAnsi="仿宋" w:eastAsia="仿宋" w:cs="仿宋"/>
          <w:sz w:val="24"/>
        </w:rPr>
        <w:t>(三)未列入政府采购严重违法失信行为记录：</w:t>
      </w:r>
      <w:bookmarkEnd w:id="190"/>
      <w:bookmarkEnd w:id="191"/>
    </w:p>
    <w:p w14:paraId="529EB735">
      <w:pPr>
        <w:pStyle w:val="15"/>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中国政府采购网(www.ccgp.gov.cn)没有政府采购严重违法失信行为记录(被禁止在一定期限内参加政府采购活动但期限届满的除外)，提供信用查询截止时点：本项目采购公告发布之日起至投标截止时间。（查询结果以采购人查询结果为准，供应商无需再提供）。</w:t>
      </w:r>
    </w:p>
    <w:p w14:paraId="1F3D92CA">
      <w:pPr>
        <w:rPr>
          <w:rFonts w:ascii="仿宋" w:hAnsi="仿宋" w:eastAsia="仿宋" w:cs="仿宋"/>
        </w:rPr>
      </w:pPr>
    </w:p>
    <w:bookmarkEnd w:id="149"/>
    <w:p w14:paraId="4E343332">
      <w:pPr>
        <w:widowControl/>
        <w:jc w:val="left"/>
        <w:rPr>
          <w:rFonts w:ascii="仿宋" w:hAnsi="仿宋" w:eastAsia="仿宋" w:cs="仿宋"/>
          <w:b/>
          <w:bCs/>
          <w:sz w:val="52"/>
          <w:szCs w:val="52"/>
        </w:rPr>
      </w:pPr>
      <w:bookmarkStart w:id="192" w:name="_Toc11812"/>
      <w:bookmarkStart w:id="193" w:name="_Toc7096"/>
      <w:bookmarkStart w:id="194" w:name="_Toc914"/>
      <w:bookmarkStart w:id="195" w:name="_Toc8499"/>
      <w:bookmarkStart w:id="196" w:name="_Toc13391"/>
      <w:bookmarkStart w:id="197" w:name="_Toc17878"/>
      <w:bookmarkStart w:id="198" w:name="_Toc62031170"/>
      <w:r>
        <w:rPr>
          <w:rFonts w:ascii="仿宋" w:hAnsi="仿宋" w:eastAsia="仿宋" w:cs="仿宋"/>
          <w:sz w:val="52"/>
          <w:szCs w:val="52"/>
        </w:rPr>
        <w:br w:type="page"/>
      </w:r>
    </w:p>
    <w:p w14:paraId="2ED05A9B">
      <w:pPr>
        <w:pStyle w:val="2"/>
        <w:numPr>
          <w:ilvl w:val="3"/>
          <w:numId w:val="0"/>
        </w:numPr>
        <w:tabs>
          <w:tab w:val="left" w:pos="360"/>
          <w:tab w:val="clear" w:pos="720"/>
          <w:tab w:val="clear" w:pos="1665"/>
        </w:tabs>
        <w:autoSpaceDE w:val="0"/>
        <w:autoSpaceDN w:val="0"/>
        <w:spacing w:line="800" w:lineRule="exact"/>
        <w:jc w:val="center"/>
        <w:rPr>
          <w:rFonts w:ascii="仿宋" w:hAnsi="仿宋" w:eastAsia="仿宋" w:cs="仿宋"/>
          <w:sz w:val="52"/>
          <w:szCs w:val="52"/>
        </w:rPr>
      </w:pPr>
      <w:bookmarkStart w:id="199" w:name="_Toc14060"/>
      <w:r>
        <w:rPr>
          <w:rFonts w:hint="eastAsia" w:ascii="仿宋" w:hAnsi="仿宋" w:eastAsia="仿宋" w:cs="仿宋"/>
          <w:sz w:val="52"/>
          <w:szCs w:val="52"/>
        </w:rPr>
        <w:t>商务技术部分</w:t>
      </w:r>
      <w:bookmarkEnd w:id="192"/>
      <w:bookmarkEnd w:id="193"/>
      <w:bookmarkEnd w:id="194"/>
      <w:bookmarkEnd w:id="195"/>
      <w:bookmarkEnd w:id="196"/>
      <w:bookmarkEnd w:id="197"/>
      <w:bookmarkEnd w:id="199"/>
    </w:p>
    <w:p w14:paraId="5461CC41">
      <w:pPr>
        <w:rPr>
          <w:rFonts w:ascii="仿宋" w:hAnsi="仿宋" w:eastAsia="仿宋" w:cs="仿宋"/>
          <w:szCs w:val="32"/>
        </w:rPr>
      </w:pPr>
    </w:p>
    <w:p w14:paraId="6DF8F00D">
      <w:pPr>
        <w:rPr>
          <w:rFonts w:ascii="仿宋" w:hAnsi="仿宋" w:eastAsia="仿宋" w:cs="仿宋"/>
          <w:szCs w:val="32"/>
        </w:rPr>
      </w:pPr>
      <w:r>
        <w:rPr>
          <w:rFonts w:hint="eastAsia" w:ascii="仿宋" w:hAnsi="仿宋" w:eastAsia="仿宋" w:cs="仿宋"/>
          <w:szCs w:val="32"/>
        </w:rPr>
        <w:br w:type="page"/>
      </w:r>
    </w:p>
    <w:p w14:paraId="720E5019">
      <w:pPr>
        <w:pStyle w:val="3"/>
        <w:numPr>
          <w:ilvl w:val="1"/>
          <w:numId w:val="0"/>
        </w:numPr>
        <w:snapToGrid w:val="0"/>
        <w:spacing w:before="100" w:beforeAutospacing="1" w:after="100" w:afterAutospacing="1" w:line="360" w:lineRule="auto"/>
        <w:jc w:val="center"/>
        <w:rPr>
          <w:rFonts w:ascii="仿宋" w:hAnsi="仿宋" w:eastAsia="仿宋" w:cs="仿宋"/>
          <w:szCs w:val="32"/>
        </w:rPr>
      </w:pPr>
      <w:bookmarkStart w:id="200" w:name="_Toc9066"/>
      <w:r>
        <w:rPr>
          <w:rFonts w:hint="eastAsia" w:ascii="仿宋" w:hAnsi="仿宋" w:eastAsia="仿宋" w:cs="仿宋"/>
          <w:szCs w:val="32"/>
        </w:rPr>
        <w:t>一、开标（唱标）一览表</w:t>
      </w:r>
      <w:bookmarkEnd w:id="198"/>
      <w:bookmarkEnd w:id="200"/>
    </w:p>
    <w:p w14:paraId="690DF6A9">
      <w:pPr>
        <w:pStyle w:val="4"/>
        <w:numPr>
          <w:ilvl w:val="0"/>
          <w:numId w:val="0"/>
        </w:numPr>
        <w:rPr>
          <w:rFonts w:ascii="仿宋" w:hAnsi="仿宋" w:eastAsia="仿宋" w:cs="仿宋"/>
          <w:sz w:val="30"/>
          <w:szCs w:val="30"/>
        </w:rPr>
      </w:pPr>
      <w:bookmarkStart w:id="201" w:name="_Toc87151850"/>
      <w:bookmarkStart w:id="202" w:name="_Toc96951856"/>
      <w:bookmarkStart w:id="203" w:name="_Toc27137"/>
      <w:bookmarkStart w:id="204" w:name="_Toc510518850"/>
      <w:bookmarkStart w:id="205" w:name="_Toc181678863"/>
      <w:bookmarkStart w:id="206" w:name="_Toc2683"/>
      <w:bookmarkStart w:id="207" w:name="_Toc31675"/>
      <w:bookmarkStart w:id="208" w:name="_Toc62031171"/>
      <w:r>
        <w:rPr>
          <w:rFonts w:hint="eastAsia" w:ascii="仿宋" w:hAnsi="仿宋" w:eastAsia="仿宋" w:cs="仿宋"/>
          <w:sz w:val="30"/>
          <w:szCs w:val="30"/>
        </w:rPr>
        <w:t>（二）投标报价一览表</w:t>
      </w:r>
      <w:bookmarkEnd w:id="201"/>
      <w:bookmarkEnd w:id="202"/>
      <w:bookmarkEnd w:id="203"/>
      <w:bookmarkEnd w:id="204"/>
      <w:bookmarkEnd w:id="205"/>
      <w:bookmarkEnd w:id="206"/>
      <w:bookmarkEnd w:id="207"/>
    </w:p>
    <w:p w14:paraId="6D031AF4">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项目名称：                     </w:t>
      </w:r>
    </w:p>
    <w:p w14:paraId="7F2DFEFD">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投标人名称：                   </w:t>
      </w:r>
    </w:p>
    <w:tbl>
      <w:tblPr>
        <w:tblStyle w:val="2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27"/>
        <w:gridCol w:w="6039"/>
        <w:gridCol w:w="1479"/>
      </w:tblGrid>
      <w:tr w14:paraId="146E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1120" w:type="dxa"/>
            <w:noWrap/>
            <w:vAlign w:val="center"/>
          </w:tcPr>
          <w:p w14:paraId="255D38CD">
            <w:pPr>
              <w:spacing w:line="420" w:lineRule="exact"/>
              <w:jc w:val="left"/>
              <w:rPr>
                <w:rFonts w:ascii="仿宋" w:hAnsi="仿宋" w:eastAsia="仿宋" w:cs="仿宋"/>
                <w:sz w:val="22"/>
              </w:rPr>
            </w:pPr>
            <w:r>
              <w:rPr>
                <w:rFonts w:hint="eastAsia" w:ascii="仿宋" w:hAnsi="仿宋" w:eastAsia="仿宋" w:cs="仿宋"/>
                <w:sz w:val="22"/>
              </w:rPr>
              <w:t>序号</w:t>
            </w:r>
          </w:p>
        </w:tc>
        <w:tc>
          <w:tcPr>
            <w:tcW w:w="1127" w:type="dxa"/>
            <w:noWrap/>
            <w:vAlign w:val="center"/>
          </w:tcPr>
          <w:p w14:paraId="2B18F430">
            <w:pPr>
              <w:spacing w:line="420" w:lineRule="exact"/>
              <w:jc w:val="left"/>
              <w:rPr>
                <w:rFonts w:ascii="仿宋" w:hAnsi="仿宋" w:eastAsia="仿宋" w:cs="仿宋"/>
                <w:sz w:val="22"/>
              </w:rPr>
            </w:pPr>
            <w:r>
              <w:rPr>
                <w:rFonts w:hint="eastAsia" w:ascii="仿宋" w:hAnsi="仿宋" w:eastAsia="仿宋" w:cs="仿宋"/>
                <w:sz w:val="22"/>
              </w:rPr>
              <w:t>内 容</w:t>
            </w:r>
          </w:p>
        </w:tc>
        <w:tc>
          <w:tcPr>
            <w:tcW w:w="6039" w:type="dxa"/>
            <w:noWrap/>
            <w:vAlign w:val="center"/>
          </w:tcPr>
          <w:p w14:paraId="03C22241">
            <w:pPr>
              <w:spacing w:line="420" w:lineRule="exact"/>
              <w:jc w:val="left"/>
              <w:rPr>
                <w:rFonts w:ascii="仿宋" w:hAnsi="仿宋" w:eastAsia="仿宋" w:cs="仿宋"/>
                <w:sz w:val="22"/>
              </w:rPr>
            </w:pPr>
            <w:r>
              <w:rPr>
                <w:rFonts w:hint="eastAsia" w:ascii="仿宋" w:hAnsi="仿宋" w:eastAsia="仿宋" w:cs="仿宋"/>
                <w:sz w:val="22"/>
              </w:rPr>
              <w:t>报价及承诺</w:t>
            </w:r>
          </w:p>
        </w:tc>
        <w:tc>
          <w:tcPr>
            <w:tcW w:w="1479" w:type="dxa"/>
            <w:noWrap/>
            <w:vAlign w:val="center"/>
          </w:tcPr>
          <w:p w14:paraId="41D38BCA">
            <w:pPr>
              <w:spacing w:line="420" w:lineRule="exact"/>
              <w:ind w:firstLine="440" w:firstLineChars="200"/>
              <w:jc w:val="left"/>
              <w:rPr>
                <w:rFonts w:ascii="仿宋" w:hAnsi="仿宋" w:eastAsia="仿宋" w:cs="仿宋"/>
                <w:sz w:val="22"/>
              </w:rPr>
            </w:pPr>
            <w:r>
              <w:rPr>
                <w:rFonts w:hint="eastAsia" w:ascii="仿宋" w:hAnsi="仿宋" w:eastAsia="仿宋" w:cs="仿宋"/>
                <w:sz w:val="22"/>
              </w:rPr>
              <w:t>备注</w:t>
            </w:r>
          </w:p>
        </w:tc>
      </w:tr>
      <w:tr w14:paraId="38EF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20" w:type="dxa"/>
            <w:noWrap/>
            <w:vAlign w:val="center"/>
          </w:tcPr>
          <w:p w14:paraId="23B95C9E">
            <w:pPr>
              <w:spacing w:line="420" w:lineRule="exact"/>
              <w:ind w:firstLine="440" w:firstLineChars="200"/>
              <w:jc w:val="left"/>
              <w:rPr>
                <w:rFonts w:ascii="仿宋" w:hAnsi="仿宋" w:eastAsia="仿宋" w:cs="仿宋"/>
                <w:sz w:val="22"/>
              </w:rPr>
            </w:pPr>
            <w:r>
              <w:rPr>
                <w:rFonts w:hint="eastAsia" w:ascii="仿宋" w:hAnsi="仿宋" w:eastAsia="仿宋" w:cs="仿宋"/>
                <w:sz w:val="22"/>
              </w:rPr>
              <w:t>1</w:t>
            </w:r>
          </w:p>
        </w:tc>
        <w:tc>
          <w:tcPr>
            <w:tcW w:w="1127" w:type="dxa"/>
            <w:noWrap/>
            <w:vAlign w:val="center"/>
          </w:tcPr>
          <w:p w14:paraId="4F7BCE8D">
            <w:pPr>
              <w:spacing w:line="420" w:lineRule="exact"/>
              <w:jc w:val="left"/>
              <w:rPr>
                <w:rFonts w:ascii="仿宋" w:hAnsi="仿宋" w:eastAsia="仿宋" w:cs="仿宋"/>
                <w:sz w:val="22"/>
              </w:rPr>
            </w:pPr>
            <w:r>
              <w:rPr>
                <w:rFonts w:hint="eastAsia" w:ascii="仿宋" w:hAnsi="仿宋" w:eastAsia="仿宋" w:cs="仿宋"/>
                <w:sz w:val="22"/>
              </w:rPr>
              <w:t>投标报价</w:t>
            </w:r>
          </w:p>
        </w:tc>
        <w:tc>
          <w:tcPr>
            <w:tcW w:w="6039" w:type="dxa"/>
            <w:noWrap/>
            <w:vAlign w:val="center"/>
          </w:tcPr>
          <w:p w14:paraId="55C3D4D5">
            <w:pPr>
              <w:spacing w:line="420" w:lineRule="exact"/>
              <w:ind w:firstLine="440" w:firstLineChars="200"/>
              <w:jc w:val="left"/>
              <w:rPr>
                <w:rFonts w:ascii="仿宋" w:hAnsi="仿宋" w:eastAsia="仿宋" w:cs="仿宋"/>
                <w:sz w:val="22"/>
              </w:rPr>
            </w:pPr>
          </w:p>
        </w:tc>
        <w:tc>
          <w:tcPr>
            <w:tcW w:w="1479" w:type="dxa"/>
            <w:noWrap/>
            <w:vAlign w:val="center"/>
          </w:tcPr>
          <w:p w14:paraId="67CB50C5">
            <w:pPr>
              <w:spacing w:line="420" w:lineRule="exact"/>
              <w:ind w:firstLine="440" w:firstLineChars="200"/>
              <w:jc w:val="left"/>
              <w:rPr>
                <w:rFonts w:ascii="仿宋" w:hAnsi="仿宋" w:eastAsia="仿宋" w:cs="仿宋"/>
                <w:sz w:val="22"/>
              </w:rPr>
            </w:pPr>
          </w:p>
        </w:tc>
      </w:tr>
      <w:tr w14:paraId="750B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20" w:type="dxa"/>
            <w:noWrap/>
            <w:vAlign w:val="center"/>
          </w:tcPr>
          <w:p w14:paraId="36FC0916">
            <w:pPr>
              <w:spacing w:line="420" w:lineRule="exact"/>
              <w:ind w:firstLine="440" w:firstLineChars="200"/>
              <w:jc w:val="left"/>
              <w:rPr>
                <w:rFonts w:ascii="仿宋" w:hAnsi="仿宋" w:eastAsia="仿宋" w:cs="仿宋"/>
                <w:sz w:val="22"/>
              </w:rPr>
            </w:pPr>
            <w:r>
              <w:rPr>
                <w:rFonts w:hint="eastAsia" w:ascii="仿宋" w:hAnsi="仿宋" w:eastAsia="仿宋" w:cs="仿宋"/>
                <w:sz w:val="22"/>
              </w:rPr>
              <w:t>2</w:t>
            </w:r>
          </w:p>
        </w:tc>
        <w:tc>
          <w:tcPr>
            <w:tcW w:w="1127" w:type="dxa"/>
            <w:noWrap/>
            <w:vAlign w:val="center"/>
          </w:tcPr>
          <w:p w14:paraId="26D6E87A">
            <w:pPr>
              <w:spacing w:line="420" w:lineRule="exact"/>
              <w:jc w:val="left"/>
              <w:rPr>
                <w:rFonts w:ascii="仿宋" w:hAnsi="仿宋" w:eastAsia="仿宋" w:cs="仿宋"/>
                <w:sz w:val="22"/>
              </w:rPr>
            </w:pPr>
            <w:r>
              <w:rPr>
                <w:rFonts w:hint="eastAsia" w:ascii="仿宋" w:hAnsi="仿宋" w:eastAsia="仿宋" w:cs="仿宋"/>
                <w:sz w:val="22"/>
              </w:rPr>
              <w:t>服务周期</w:t>
            </w:r>
          </w:p>
        </w:tc>
        <w:tc>
          <w:tcPr>
            <w:tcW w:w="7518" w:type="dxa"/>
            <w:gridSpan w:val="2"/>
            <w:noWrap/>
            <w:vAlign w:val="center"/>
          </w:tcPr>
          <w:p w14:paraId="303E8593">
            <w:pPr>
              <w:spacing w:line="420" w:lineRule="exact"/>
              <w:ind w:firstLine="440" w:firstLineChars="200"/>
              <w:jc w:val="left"/>
              <w:rPr>
                <w:rFonts w:ascii="仿宋" w:hAnsi="仿宋" w:eastAsia="仿宋" w:cs="仿宋"/>
                <w:sz w:val="22"/>
              </w:rPr>
            </w:pPr>
          </w:p>
        </w:tc>
      </w:tr>
      <w:tr w14:paraId="536F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120" w:type="dxa"/>
            <w:noWrap/>
            <w:vAlign w:val="center"/>
          </w:tcPr>
          <w:p w14:paraId="52C99F7C">
            <w:pPr>
              <w:spacing w:line="420" w:lineRule="exact"/>
              <w:ind w:firstLine="440" w:firstLineChars="200"/>
              <w:jc w:val="left"/>
              <w:rPr>
                <w:rFonts w:ascii="仿宋" w:hAnsi="仿宋" w:eastAsia="仿宋" w:cs="仿宋"/>
                <w:sz w:val="22"/>
              </w:rPr>
            </w:pPr>
            <w:r>
              <w:rPr>
                <w:rFonts w:hint="eastAsia" w:ascii="仿宋" w:hAnsi="仿宋" w:eastAsia="仿宋" w:cs="仿宋"/>
                <w:sz w:val="22"/>
              </w:rPr>
              <w:t>3</w:t>
            </w:r>
          </w:p>
        </w:tc>
        <w:tc>
          <w:tcPr>
            <w:tcW w:w="1127" w:type="dxa"/>
            <w:noWrap/>
            <w:vAlign w:val="center"/>
          </w:tcPr>
          <w:p w14:paraId="7E091A76">
            <w:pPr>
              <w:spacing w:line="420" w:lineRule="exact"/>
              <w:jc w:val="left"/>
              <w:rPr>
                <w:rFonts w:ascii="仿宋" w:hAnsi="仿宋" w:eastAsia="仿宋" w:cs="仿宋"/>
                <w:sz w:val="22"/>
              </w:rPr>
            </w:pPr>
            <w:r>
              <w:rPr>
                <w:rFonts w:hint="eastAsia" w:ascii="仿宋" w:hAnsi="仿宋" w:eastAsia="仿宋" w:cs="仿宋"/>
                <w:sz w:val="22"/>
              </w:rPr>
              <w:t>项目负责人</w:t>
            </w:r>
          </w:p>
        </w:tc>
        <w:tc>
          <w:tcPr>
            <w:tcW w:w="7518" w:type="dxa"/>
            <w:gridSpan w:val="2"/>
            <w:noWrap/>
            <w:vAlign w:val="center"/>
          </w:tcPr>
          <w:p w14:paraId="42263A30">
            <w:pPr>
              <w:spacing w:line="420" w:lineRule="exact"/>
              <w:ind w:firstLine="440" w:firstLineChars="200"/>
              <w:jc w:val="left"/>
              <w:rPr>
                <w:rFonts w:ascii="仿宋" w:hAnsi="仿宋" w:eastAsia="仿宋" w:cs="仿宋"/>
                <w:sz w:val="22"/>
              </w:rPr>
            </w:pPr>
          </w:p>
        </w:tc>
      </w:tr>
      <w:tr w14:paraId="35B8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20" w:type="dxa"/>
            <w:noWrap/>
            <w:vAlign w:val="center"/>
          </w:tcPr>
          <w:p w14:paraId="21955CF6">
            <w:pPr>
              <w:spacing w:line="420" w:lineRule="exact"/>
              <w:ind w:firstLine="440" w:firstLineChars="200"/>
              <w:jc w:val="left"/>
              <w:rPr>
                <w:rFonts w:ascii="仿宋" w:hAnsi="仿宋" w:eastAsia="仿宋" w:cs="仿宋"/>
                <w:sz w:val="22"/>
              </w:rPr>
            </w:pPr>
            <w:r>
              <w:rPr>
                <w:rFonts w:hint="eastAsia" w:ascii="仿宋" w:hAnsi="仿宋" w:eastAsia="仿宋" w:cs="仿宋"/>
                <w:sz w:val="22"/>
              </w:rPr>
              <w:t>4</w:t>
            </w:r>
          </w:p>
        </w:tc>
        <w:tc>
          <w:tcPr>
            <w:tcW w:w="1127" w:type="dxa"/>
            <w:noWrap/>
            <w:vAlign w:val="center"/>
          </w:tcPr>
          <w:p w14:paraId="01E13928">
            <w:pPr>
              <w:spacing w:line="420" w:lineRule="exact"/>
              <w:jc w:val="left"/>
              <w:rPr>
                <w:rFonts w:ascii="仿宋" w:hAnsi="仿宋" w:eastAsia="仿宋" w:cs="仿宋"/>
                <w:sz w:val="22"/>
              </w:rPr>
            </w:pPr>
            <w:r>
              <w:rPr>
                <w:rFonts w:hint="eastAsia" w:ascii="仿宋" w:hAnsi="仿宋" w:eastAsia="仿宋" w:cs="仿宋"/>
                <w:sz w:val="22"/>
              </w:rPr>
              <w:t>质量承诺</w:t>
            </w:r>
          </w:p>
        </w:tc>
        <w:tc>
          <w:tcPr>
            <w:tcW w:w="7518" w:type="dxa"/>
            <w:gridSpan w:val="2"/>
            <w:noWrap/>
            <w:vAlign w:val="center"/>
          </w:tcPr>
          <w:p w14:paraId="7957F678">
            <w:pPr>
              <w:spacing w:line="420" w:lineRule="exact"/>
              <w:ind w:firstLine="440" w:firstLineChars="200"/>
              <w:jc w:val="left"/>
              <w:rPr>
                <w:rFonts w:ascii="仿宋" w:hAnsi="仿宋" w:eastAsia="仿宋" w:cs="仿宋"/>
                <w:sz w:val="22"/>
              </w:rPr>
            </w:pPr>
          </w:p>
        </w:tc>
      </w:tr>
      <w:tr w14:paraId="2799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120" w:type="dxa"/>
            <w:noWrap/>
            <w:vAlign w:val="center"/>
          </w:tcPr>
          <w:p w14:paraId="49250C1A">
            <w:pPr>
              <w:spacing w:line="420" w:lineRule="exact"/>
              <w:ind w:firstLine="440" w:firstLineChars="200"/>
              <w:jc w:val="left"/>
              <w:rPr>
                <w:rFonts w:ascii="仿宋" w:hAnsi="仿宋" w:eastAsia="仿宋" w:cs="仿宋"/>
                <w:sz w:val="22"/>
              </w:rPr>
            </w:pPr>
            <w:r>
              <w:rPr>
                <w:rFonts w:hint="eastAsia" w:ascii="仿宋" w:hAnsi="仿宋" w:eastAsia="仿宋" w:cs="仿宋"/>
                <w:sz w:val="22"/>
              </w:rPr>
              <w:t>5</w:t>
            </w:r>
          </w:p>
        </w:tc>
        <w:tc>
          <w:tcPr>
            <w:tcW w:w="1127" w:type="dxa"/>
            <w:noWrap/>
            <w:vAlign w:val="center"/>
          </w:tcPr>
          <w:p w14:paraId="1DCC58D7">
            <w:pPr>
              <w:spacing w:line="420" w:lineRule="exact"/>
              <w:jc w:val="left"/>
              <w:rPr>
                <w:rFonts w:ascii="仿宋" w:hAnsi="仿宋" w:eastAsia="仿宋" w:cs="仿宋"/>
                <w:sz w:val="22"/>
              </w:rPr>
            </w:pPr>
            <w:r>
              <w:rPr>
                <w:rFonts w:hint="eastAsia" w:ascii="仿宋" w:hAnsi="仿宋" w:eastAsia="仿宋" w:cs="仿宋"/>
                <w:sz w:val="22"/>
              </w:rPr>
              <w:t>备注</w:t>
            </w:r>
          </w:p>
        </w:tc>
        <w:tc>
          <w:tcPr>
            <w:tcW w:w="7518" w:type="dxa"/>
            <w:gridSpan w:val="2"/>
            <w:noWrap/>
            <w:vAlign w:val="center"/>
          </w:tcPr>
          <w:p w14:paraId="1BC3251D">
            <w:pPr>
              <w:spacing w:line="420" w:lineRule="exact"/>
              <w:ind w:firstLine="440" w:firstLineChars="200"/>
              <w:jc w:val="left"/>
              <w:rPr>
                <w:rFonts w:ascii="仿宋" w:hAnsi="仿宋" w:eastAsia="仿宋" w:cs="仿宋"/>
                <w:sz w:val="22"/>
              </w:rPr>
            </w:pPr>
          </w:p>
        </w:tc>
      </w:tr>
    </w:tbl>
    <w:p w14:paraId="2B6466BA">
      <w:pPr>
        <w:spacing w:line="420" w:lineRule="exact"/>
        <w:ind w:firstLine="440" w:firstLineChars="200"/>
        <w:jc w:val="left"/>
        <w:rPr>
          <w:rFonts w:ascii="仿宋" w:hAnsi="仿宋" w:eastAsia="仿宋" w:cs="仿宋"/>
          <w:sz w:val="22"/>
        </w:rPr>
      </w:pPr>
    </w:p>
    <w:p w14:paraId="0AF05E84">
      <w:pPr>
        <w:spacing w:line="420" w:lineRule="exact"/>
        <w:ind w:firstLine="440" w:firstLineChars="200"/>
        <w:jc w:val="left"/>
        <w:rPr>
          <w:rFonts w:ascii="仿宋" w:hAnsi="仿宋" w:eastAsia="仿宋" w:cs="仿宋"/>
          <w:sz w:val="22"/>
        </w:rPr>
      </w:pPr>
    </w:p>
    <w:p w14:paraId="6A837C67">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投标人：                      （盖章）     </w:t>
      </w:r>
    </w:p>
    <w:p w14:paraId="25479773">
      <w:pPr>
        <w:spacing w:line="420" w:lineRule="exact"/>
        <w:ind w:firstLine="440" w:firstLineChars="200"/>
        <w:jc w:val="left"/>
        <w:rPr>
          <w:rFonts w:ascii="仿宋" w:hAnsi="仿宋" w:eastAsia="仿宋" w:cs="仿宋"/>
          <w:sz w:val="22"/>
        </w:rPr>
      </w:pPr>
      <w:r>
        <w:rPr>
          <w:rFonts w:hint="eastAsia" w:ascii="仿宋" w:hAnsi="仿宋" w:eastAsia="仿宋" w:cs="仿宋"/>
          <w:sz w:val="22"/>
        </w:rPr>
        <w:t>法定代表人或其授权委托人：                  （签字或盖章）</w:t>
      </w:r>
    </w:p>
    <w:p w14:paraId="64515261">
      <w:pPr>
        <w:spacing w:line="420" w:lineRule="exact"/>
        <w:ind w:firstLine="440" w:firstLineChars="200"/>
        <w:jc w:val="left"/>
        <w:rPr>
          <w:rFonts w:ascii="仿宋" w:hAnsi="仿宋" w:eastAsia="仿宋" w:cs="仿宋"/>
          <w:sz w:val="22"/>
        </w:rPr>
      </w:pPr>
      <w:r>
        <w:rPr>
          <w:rFonts w:hint="eastAsia" w:ascii="仿宋" w:hAnsi="仿宋" w:eastAsia="仿宋" w:cs="仿宋"/>
          <w:sz w:val="22"/>
        </w:rPr>
        <w:t>日期：   年   月   日</w:t>
      </w:r>
    </w:p>
    <w:p w14:paraId="25BC3E7A">
      <w:pPr>
        <w:spacing w:line="420" w:lineRule="exact"/>
        <w:ind w:firstLine="440" w:firstLineChars="200"/>
        <w:jc w:val="left"/>
        <w:rPr>
          <w:rFonts w:ascii="仿宋" w:hAnsi="仿宋" w:eastAsia="仿宋" w:cs="仿宋"/>
          <w:sz w:val="22"/>
        </w:rPr>
      </w:pPr>
    </w:p>
    <w:p w14:paraId="1E09E3CA">
      <w:pPr>
        <w:spacing w:line="420" w:lineRule="exact"/>
        <w:ind w:firstLine="440" w:firstLineChars="200"/>
        <w:jc w:val="left"/>
        <w:rPr>
          <w:rFonts w:ascii="仿宋" w:hAnsi="仿宋" w:eastAsia="仿宋" w:cs="仿宋"/>
          <w:sz w:val="22"/>
        </w:rPr>
      </w:pPr>
      <w:r>
        <w:rPr>
          <w:rFonts w:hint="eastAsia" w:ascii="仿宋" w:hAnsi="仿宋" w:eastAsia="仿宋" w:cs="仿宋"/>
          <w:sz w:val="22"/>
        </w:rPr>
        <w:br w:type="page"/>
      </w:r>
    </w:p>
    <w:p w14:paraId="79343647">
      <w:pPr>
        <w:pStyle w:val="3"/>
        <w:numPr>
          <w:ilvl w:val="1"/>
          <w:numId w:val="0"/>
        </w:numPr>
        <w:spacing w:before="0" w:after="0" w:line="360" w:lineRule="auto"/>
        <w:jc w:val="both"/>
        <w:rPr>
          <w:rFonts w:ascii="仿宋" w:hAnsi="仿宋" w:eastAsia="仿宋" w:cs="仿宋"/>
          <w:sz w:val="24"/>
          <w:szCs w:val="24"/>
        </w:rPr>
      </w:pPr>
      <w:bookmarkStart w:id="209" w:name="_Toc9525"/>
      <w:r>
        <w:rPr>
          <w:rFonts w:hint="eastAsia" w:ascii="仿宋" w:hAnsi="仿宋" w:eastAsia="仿宋" w:cs="仿宋"/>
          <w:szCs w:val="32"/>
        </w:rPr>
        <w:t>二、</w:t>
      </w:r>
      <w:bookmarkEnd w:id="208"/>
      <w:bookmarkStart w:id="210" w:name="_Toc23946"/>
      <w:bookmarkStart w:id="211" w:name="_Toc510518844"/>
      <w:bookmarkStart w:id="212" w:name="_Toc25465"/>
      <w:bookmarkStart w:id="213" w:name="_Toc62031176"/>
      <w:bookmarkStart w:id="214" w:name="_Toc62031172"/>
      <w:r>
        <w:rPr>
          <w:rFonts w:hint="eastAsia" w:ascii="仿宋" w:hAnsi="仿宋" w:eastAsia="仿宋" w:cs="仿宋"/>
          <w:sz w:val="24"/>
          <w:szCs w:val="24"/>
        </w:rPr>
        <w:t>（一）投标函</w:t>
      </w:r>
      <w:bookmarkEnd w:id="209"/>
      <w:bookmarkEnd w:id="210"/>
      <w:bookmarkEnd w:id="211"/>
      <w:bookmarkEnd w:id="212"/>
    </w:p>
    <w:p w14:paraId="30B30341">
      <w:pPr>
        <w:spacing w:line="420" w:lineRule="exact"/>
        <w:jc w:val="left"/>
        <w:rPr>
          <w:rFonts w:ascii="仿宋" w:hAnsi="仿宋" w:eastAsia="仿宋" w:cs="仿宋"/>
          <w:sz w:val="22"/>
        </w:rPr>
      </w:pPr>
      <w:r>
        <w:rPr>
          <w:rFonts w:hint="eastAsia" w:ascii="仿宋" w:hAnsi="仿宋" w:eastAsia="仿宋" w:cs="仿宋"/>
          <w:sz w:val="22"/>
        </w:rPr>
        <w:t xml:space="preserve">致：   {招标人名称}         </w:t>
      </w:r>
    </w:p>
    <w:p w14:paraId="66315047">
      <w:pPr>
        <w:spacing w:line="420" w:lineRule="exact"/>
        <w:ind w:firstLine="440" w:firstLineChars="200"/>
        <w:jc w:val="left"/>
        <w:rPr>
          <w:rFonts w:ascii="仿宋" w:hAnsi="仿宋" w:eastAsia="仿宋" w:cs="仿宋"/>
          <w:sz w:val="22"/>
        </w:rPr>
      </w:pPr>
      <w:r>
        <w:rPr>
          <w:rFonts w:hint="eastAsia" w:ascii="仿宋" w:hAnsi="仿宋" w:eastAsia="仿宋" w:cs="仿宋"/>
          <w:sz w:val="22"/>
        </w:rPr>
        <w:t>一、根据你方招标工程项目编号为  {项目编号}  的  {招标工程项目名称}  招标文件，遵照《中华人民共和国招标投标法》等有关规定，经踏勘项目现场和研究上述招标文件的投标人须知、合同条款、基础资料、工程建设标准及其它有关文件资料后，我方愿以下报价为我们的投标报价：投标报价详见投标报价一览表及分项报价一览表,并按上述合同条款、工程建设标准的条件要求完成上述工程的任务以及后续相关服务工作，并承担任何缺陷责任。</w:t>
      </w:r>
    </w:p>
    <w:p w14:paraId="239456A8">
      <w:pPr>
        <w:spacing w:line="420" w:lineRule="exact"/>
        <w:ind w:firstLine="440" w:firstLineChars="200"/>
        <w:jc w:val="left"/>
        <w:rPr>
          <w:rFonts w:ascii="仿宋" w:hAnsi="仿宋" w:eastAsia="仿宋" w:cs="仿宋"/>
          <w:sz w:val="22"/>
        </w:rPr>
      </w:pPr>
      <w:r>
        <w:rPr>
          <w:rFonts w:hint="eastAsia" w:ascii="仿宋" w:hAnsi="仿宋" w:eastAsia="仿宋" w:cs="仿宋"/>
          <w:sz w:val="22"/>
        </w:rPr>
        <w:t>二、我方承诺我们的投标报价不低于我们自身的成本。</w:t>
      </w:r>
    </w:p>
    <w:p w14:paraId="1324B719">
      <w:pPr>
        <w:spacing w:line="420" w:lineRule="exact"/>
        <w:ind w:firstLine="440" w:firstLineChars="200"/>
        <w:jc w:val="left"/>
        <w:rPr>
          <w:rFonts w:ascii="仿宋" w:hAnsi="仿宋" w:eastAsia="仿宋" w:cs="仿宋"/>
          <w:sz w:val="22"/>
        </w:rPr>
      </w:pPr>
      <w:r>
        <w:rPr>
          <w:rFonts w:hint="eastAsia" w:ascii="仿宋" w:hAnsi="仿宋" w:eastAsia="仿宋" w:cs="仿宋"/>
          <w:sz w:val="22"/>
        </w:rPr>
        <w:t>三、我方已详细审核全部招标文件，包括修改文件（如有时）及有关附件。</w:t>
      </w:r>
    </w:p>
    <w:p w14:paraId="68A0ADF0">
      <w:pPr>
        <w:spacing w:line="420" w:lineRule="exact"/>
        <w:ind w:firstLine="440" w:firstLineChars="200"/>
        <w:jc w:val="left"/>
        <w:rPr>
          <w:rFonts w:ascii="仿宋" w:hAnsi="仿宋" w:eastAsia="仿宋" w:cs="仿宋"/>
          <w:sz w:val="22"/>
        </w:rPr>
      </w:pPr>
      <w:r>
        <w:rPr>
          <w:rFonts w:hint="eastAsia" w:ascii="仿宋" w:hAnsi="仿宋" w:eastAsia="仿宋" w:cs="仿宋"/>
          <w:sz w:val="22"/>
        </w:rPr>
        <w:t>四、我方承认投标函附录是我方投标函的组成部分。</w:t>
      </w:r>
    </w:p>
    <w:p w14:paraId="1540B2F0">
      <w:pPr>
        <w:spacing w:line="420" w:lineRule="exact"/>
        <w:ind w:firstLine="440" w:firstLineChars="200"/>
        <w:jc w:val="left"/>
        <w:rPr>
          <w:rFonts w:ascii="仿宋" w:hAnsi="仿宋" w:eastAsia="仿宋" w:cs="仿宋"/>
          <w:sz w:val="22"/>
        </w:rPr>
      </w:pPr>
      <w:r>
        <w:rPr>
          <w:rFonts w:hint="eastAsia" w:ascii="仿宋" w:hAnsi="仿宋" w:eastAsia="仿宋" w:cs="仿宋"/>
          <w:sz w:val="22"/>
        </w:rPr>
        <w:t>五、一旦我方中标，我方保证按招标人最终下达的任务书完成相关工作。</w:t>
      </w:r>
    </w:p>
    <w:p w14:paraId="434D5F4A">
      <w:pPr>
        <w:spacing w:line="420" w:lineRule="exact"/>
        <w:ind w:firstLine="440" w:firstLineChars="200"/>
        <w:jc w:val="left"/>
        <w:rPr>
          <w:rFonts w:ascii="仿宋" w:hAnsi="仿宋" w:eastAsia="仿宋" w:cs="仿宋"/>
          <w:sz w:val="22"/>
        </w:rPr>
      </w:pPr>
      <w:r>
        <w:rPr>
          <w:rFonts w:hint="eastAsia" w:ascii="仿宋" w:hAnsi="仿宋" w:eastAsia="仿宋" w:cs="仿宋"/>
          <w:sz w:val="22"/>
        </w:rPr>
        <w:t>六、如果我方中标，我方将向招标人提交合同价款的10%的履约保证金。</w:t>
      </w:r>
    </w:p>
    <w:p w14:paraId="05FF5DF5">
      <w:pPr>
        <w:spacing w:line="420" w:lineRule="exact"/>
        <w:ind w:firstLine="440" w:firstLineChars="200"/>
        <w:jc w:val="left"/>
        <w:rPr>
          <w:rFonts w:ascii="仿宋" w:hAnsi="仿宋" w:eastAsia="仿宋" w:cs="仿宋"/>
          <w:sz w:val="22"/>
        </w:rPr>
      </w:pPr>
      <w:r>
        <w:rPr>
          <w:rFonts w:hint="eastAsia" w:ascii="仿宋" w:hAnsi="仿宋" w:eastAsia="仿宋" w:cs="仿宋"/>
          <w:sz w:val="22"/>
        </w:rPr>
        <w:t>七、我方同意所提交的投标文件在招标文件的投标人须知中规定的        投标有效期内有效，在此期间内如果中标，我方将受此约束。</w:t>
      </w:r>
    </w:p>
    <w:p w14:paraId="0F08348E">
      <w:pPr>
        <w:spacing w:line="420" w:lineRule="exact"/>
        <w:ind w:firstLine="440" w:firstLineChars="200"/>
        <w:jc w:val="left"/>
        <w:rPr>
          <w:rFonts w:ascii="仿宋" w:hAnsi="仿宋" w:eastAsia="仿宋" w:cs="仿宋"/>
          <w:sz w:val="22"/>
        </w:rPr>
      </w:pPr>
      <w:r>
        <w:rPr>
          <w:rFonts w:hint="eastAsia" w:ascii="仿宋" w:hAnsi="仿宋" w:eastAsia="仿宋" w:cs="仿宋"/>
          <w:sz w:val="22"/>
        </w:rPr>
        <w:t>八、除非另外达成协议并生效，你方的中标通知书和本投标文件将成为约束双方的合同文件的组成部分。</w:t>
      </w:r>
    </w:p>
    <w:p w14:paraId="631CC26A">
      <w:pPr>
        <w:spacing w:line="420" w:lineRule="exact"/>
        <w:ind w:firstLine="440" w:firstLineChars="200"/>
        <w:jc w:val="left"/>
        <w:rPr>
          <w:rFonts w:ascii="仿宋" w:hAnsi="仿宋" w:eastAsia="仿宋" w:cs="仿宋"/>
          <w:sz w:val="22"/>
        </w:rPr>
      </w:pPr>
      <w:r>
        <w:rPr>
          <w:rFonts w:hint="eastAsia" w:ascii="仿宋" w:hAnsi="仿宋" w:eastAsia="仿宋" w:cs="仿宋"/>
          <w:sz w:val="22"/>
        </w:rPr>
        <w:t>九、我方将与本投标函一起，提交人民币          元作为投标保证金。</w:t>
      </w:r>
    </w:p>
    <w:p w14:paraId="325385F3">
      <w:pPr>
        <w:spacing w:line="420" w:lineRule="exact"/>
        <w:ind w:firstLine="440" w:firstLineChars="200"/>
        <w:jc w:val="left"/>
        <w:rPr>
          <w:rFonts w:ascii="仿宋" w:hAnsi="仿宋" w:eastAsia="仿宋" w:cs="仿宋"/>
          <w:sz w:val="22"/>
        </w:rPr>
      </w:pPr>
      <w:r>
        <w:rPr>
          <w:rFonts w:hint="eastAsia" w:ascii="仿宋" w:hAnsi="仿宋" w:eastAsia="仿宋" w:cs="仿宋"/>
          <w:sz w:val="22"/>
        </w:rPr>
        <w:t xml:space="preserve">十、在此我方郑重承诺：我方将按业主的要求提供高质量的后续服务。 </w:t>
      </w:r>
    </w:p>
    <w:p w14:paraId="3439180F">
      <w:pPr>
        <w:spacing w:line="420" w:lineRule="exact"/>
        <w:ind w:firstLine="440" w:firstLineChars="200"/>
        <w:jc w:val="left"/>
        <w:rPr>
          <w:rFonts w:ascii="仿宋" w:hAnsi="仿宋" w:eastAsia="仿宋" w:cs="仿宋"/>
          <w:sz w:val="22"/>
        </w:rPr>
      </w:pPr>
      <w:r>
        <w:rPr>
          <w:rFonts w:hint="eastAsia" w:ascii="仿宋" w:hAnsi="仿宋" w:eastAsia="仿宋" w:cs="仿宋"/>
          <w:sz w:val="22"/>
        </w:rPr>
        <w:t>十一、在此我方郑重承诺：接受招标人对我方工作全过程的监督和管理。</w:t>
      </w:r>
    </w:p>
    <w:p w14:paraId="10A1F93A">
      <w:pPr>
        <w:spacing w:line="420" w:lineRule="exact"/>
        <w:ind w:firstLine="440" w:firstLineChars="200"/>
        <w:jc w:val="left"/>
        <w:rPr>
          <w:rFonts w:ascii="仿宋" w:hAnsi="仿宋" w:eastAsia="仿宋" w:cs="仿宋"/>
          <w:sz w:val="22"/>
        </w:rPr>
      </w:pPr>
      <w:r>
        <w:rPr>
          <w:rFonts w:hint="eastAsia" w:ascii="仿宋" w:hAnsi="仿宋" w:eastAsia="仿宋" w:cs="仿宋"/>
          <w:sz w:val="22"/>
        </w:rPr>
        <w:t>十二、在此我方郑重承诺，我单位拟派的项目负责人及主要成员不更换。</w:t>
      </w:r>
    </w:p>
    <w:p w14:paraId="50531771">
      <w:pPr>
        <w:spacing w:line="420" w:lineRule="exact"/>
        <w:jc w:val="left"/>
        <w:rPr>
          <w:rFonts w:ascii="仿宋" w:hAnsi="仿宋" w:eastAsia="仿宋" w:cs="仿宋"/>
          <w:sz w:val="22"/>
        </w:rPr>
      </w:pPr>
    </w:p>
    <w:p w14:paraId="3004A653">
      <w:pPr>
        <w:spacing w:line="420" w:lineRule="exact"/>
        <w:jc w:val="left"/>
        <w:rPr>
          <w:rFonts w:ascii="仿宋" w:hAnsi="仿宋" w:eastAsia="仿宋" w:cs="仿宋"/>
          <w:sz w:val="22"/>
        </w:rPr>
      </w:pPr>
      <w:r>
        <w:rPr>
          <w:rFonts w:hint="eastAsia" w:ascii="仿宋" w:hAnsi="仿宋" w:eastAsia="仿宋" w:cs="仿宋"/>
          <w:sz w:val="22"/>
        </w:rPr>
        <w:t xml:space="preserve">投 标 人：             （盖章）         </w:t>
      </w:r>
    </w:p>
    <w:p w14:paraId="43FE9ECD">
      <w:pPr>
        <w:spacing w:line="420" w:lineRule="exact"/>
        <w:jc w:val="left"/>
        <w:rPr>
          <w:rFonts w:ascii="仿宋" w:hAnsi="仿宋" w:eastAsia="仿宋" w:cs="仿宋"/>
          <w:sz w:val="22"/>
        </w:rPr>
      </w:pPr>
      <w:r>
        <w:rPr>
          <w:rFonts w:hint="eastAsia" w:ascii="仿宋" w:hAnsi="仿宋" w:eastAsia="仿宋" w:cs="仿宋"/>
          <w:sz w:val="22"/>
        </w:rPr>
        <w:t xml:space="preserve">法定代表人或其授权委托人：           （签字或盖章）         </w:t>
      </w:r>
    </w:p>
    <w:p w14:paraId="71D79892">
      <w:pPr>
        <w:spacing w:line="420" w:lineRule="exact"/>
        <w:jc w:val="left"/>
        <w:rPr>
          <w:rFonts w:ascii="仿宋" w:hAnsi="仿宋" w:eastAsia="仿宋" w:cs="仿宋"/>
          <w:sz w:val="22"/>
        </w:rPr>
      </w:pPr>
      <w:r>
        <w:rPr>
          <w:rFonts w:hint="eastAsia" w:ascii="仿宋" w:hAnsi="仿宋" w:eastAsia="仿宋" w:cs="仿宋"/>
          <w:sz w:val="22"/>
        </w:rPr>
        <w:t>单位地址：</w:t>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ab/>
      </w:r>
    </w:p>
    <w:p w14:paraId="059D3206">
      <w:pPr>
        <w:spacing w:line="420" w:lineRule="exact"/>
        <w:jc w:val="left"/>
        <w:rPr>
          <w:rFonts w:ascii="仿宋" w:hAnsi="仿宋" w:eastAsia="仿宋" w:cs="仿宋"/>
          <w:sz w:val="22"/>
        </w:rPr>
      </w:pPr>
      <w:r>
        <w:rPr>
          <w:rFonts w:hint="eastAsia" w:ascii="仿宋" w:hAnsi="仿宋" w:eastAsia="仿宋" w:cs="仿宋"/>
          <w:sz w:val="22"/>
        </w:rPr>
        <w:t>邮政编码：</w:t>
      </w:r>
      <w:r>
        <w:rPr>
          <w:rFonts w:hint="eastAsia" w:ascii="仿宋" w:hAnsi="仿宋" w:eastAsia="仿宋" w:cs="仿宋"/>
          <w:sz w:val="22"/>
        </w:rPr>
        <w:tab/>
      </w:r>
      <w:r>
        <w:rPr>
          <w:rFonts w:hint="eastAsia" w:ascii="仿宋" w:hAnsi="仿宋" w:eastAsia="仿宋" w:cs="仿宋"/>
          <w:sz w:val="22"/>
        </w:rPr>
        <w:tab/>
      </w:r>
    </w:p>
    <w:p w14:paraId="3C5912ED">
      <w:pPr>
        <w:spacing w:line="420" w:lineRule="exact"/>
        <w:jc w:val="left"/>
        <w:rPr>
          <w:rFonts w:ascii="仿宋" w:hAnsi="仿宋" w:eastAsia="仿宋" w:cs="仿宋"/>
          <w:sz w:val="22"/>
        </w:rPr>
      </w:pPr>
      <w:r>
        <w:rPr>
          <w:rFonts w:hint="eastAsia" w:ascii="仿宋" w:hAnsi="仿宋" w:eastAsia="仿宋" w:cs="仿宋"/>
          <w:sz w:val="22"/>
        </w:rPr>
        <w:t>电话：</w:t>
      </w:r>
      <w:r>
        <w:rPr>
          <w:rFonts w:hint="eastAsia" w:ascii="仿宋" w:hAnsi="仿宋" w:eastAsia="仿宋" w:cs="仿宋"/>
          <w:sz w:val="22"/>
        </w:rPr>
        <w:tab/>
      </w:r>
      <w:r>
        <w:rPr>
          <w:rFonts w:hint="eastAsia" w:ascii="仿宋" w:hAnsi="仿宋" w:eastAsia="仿宋" w:cs="仿宋"/>
          <w:sz w:val="22"/>
        </w:rPr>
        <w:tab/>
      </w:r>
      <w:r>
        <w:rPr>
          <w:rFonts w:hint="eastAsia" w:ascii="仿宋" w:hAnsi="仿宋" w:eastAsia="仿宋" w:cs="仿宋"/>
          <w:sz w:val="22"/>
        </w:rPr>
        <w:t xml:space="preserve">       传真：</w:t>
      </w:r>
      <w:r>
        <w:rPr>
          <w:rFonts w:hint="eastAsia" w:ascii="仿宋" w:hAnsi="仿宋" w:eastAsia="仿宋" w:cs="仿宋"/>
          <w:sz w:val="22"/>
        </w:rPr>
        <w:tab/>
      </w:r>
      <w:r>
        <w:rPr>
          <w:rFonts w:hint="eastAsia" w:ascii="仿宋" w:hAnsi="仿宋" w:eastAsia="仿宋" w:cs="仿宋"/>
          <w:sz w:val="22"/>
        </w:rPr>
        <w:tab/>
      </w:r>
    </w:p>
    <w:p w14:paraId="731899B7">
      <w:pPr>
        <w:spacing w:line="420" w:lineRule="exact"/>
        <w:jc w:val="left"/>
        <w:rPr>
          <w:rFonts w:ascii="仿宋" w:hAnsi="仿宋" w:eastAsia="仿宋" w:cs="仿宋"/>
          <w:sz w:val="22"/>
        </w:rPr>
      </w:pPr>
      <w:r>
        <w:rPr>
          <w:rFonts w:hint="eastAsia" w:ascii="仿宋" w:hAnsi="仿宋" w:eastAsia="仿宋" w:cs="仿宋"/>
          <w:sz w:val="22"/>
        </w:rPr>
        <w:t>日期：         年       月       日</w:t>
      </w:r>
    </w:p>
    <w:p w14:paraId="46B6230E">
      <w:pPr>
        <w:pStyle w:val="4"/>
        <w:tabs>
          <w:tab w:val="clear" w:pos="720"/>
        </w:tabs>
        <w:rPr>
          <w:rFonts w:ascii="仿宋" w:hAnsi="仿宋" w:eastAsia="仿宋" w:cs="仿宋"/>
          <w:sz w:val="24"/>
          <w:szCs w:val="24"/>
        </w:rPr>
        <w:sectPr>
          <w:footerReference r:id="rId6" w:type="default"/>
          <w:pgSz w:w="11906" w:h="16838"/>
          <w:pgMar w:top="1418" w:right="1134" w:bottom="1418" w:left="1134" w:header="851" w:footer="992" w:gutter="0"/>
          <w:cols w:space="720" w:num="1"/>
          <w:docGrid w:type="lines" w:linePitch="312" w:charSpace="0"/>
        </w:sectPr>
      </w:pPr>
    </w:p>
    <w:p w14:paraId="221734BE">
      <w:pPr>
        <w:pStyle w:val="4"/>
        <w:numPr>
          <w:ilvl w:val="2"/>
          <w:numId w:val="0"/>
        </w:numPr>
        <w:ind w:left="1260"/>
        <w:rPr>
          <w:rFonts w:ascii="仿宋" w:hAnsi="仿宋" w:eastAsia="仿宋" w:cs="仿宋"/>
        </w:rPr>
      </w:pPr>
      <w:bookmarkStart w:id="215" w:name="_Toc30053"/>
      <w:bookmarkStart w:id="216" w:name="_Toc510518845"/>
      <w:bookmarkStart w:id="217" w:name="_Toc19932"/>
      <w:bookmarkStart w:id="218" w:name="_Toc5134"/>
      <w:r>
        <w:rPr>
          <w:rFonts w:hint="eastAsia" w:ascii="仿宋" w:hAnsi="仿宋" w:eastAsia="仿宋" w:cs="仿宋"/>
        </w:rPr>
        <w:t>（二）投标函附录</w:t>
      </w:r>
      <w:bookmarkEnd w:id="215"/>
      <w:bookmarkEnd w:id="216"/>
      <w:bookmarkEnd w:id="217"/>
      <w:bookmarkEnd w:id="218"/>
    </w:p>
    <w:tbl>
      <w:tblPr>
        <w:tblStyle w:val="24"/>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4626"/>
        <w:gridCol w:w="2230"/>
      </w:tblGrid>
      <w:tr w14:paraId="3C8B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0" w:type="dxa"/>
            <w:shd w:val="clear" w:color="auto" w:fill="FFFF00"/>
            <w:noWrap/>
            <w:vAlign w:val="center"/>
          </w:tcPr>
          <w:p w14:paraId="2AE408F2">
            <w:pPr>
              <w:spacing w:line="420" w:lineRule="exact"/>
              <w:jc w:val="left"/>
              <w:rPr>
                <w:rFonts w:ascii="仿宋" w:hAnsi="仿宋" w:eastAsia="仿宋" w:cs="仿宋"/>
                <w:sz w:val="22"/>
              </w:rPr>
            </w:pPr>
            <w:r>
              <w:rPr>
                <w:rFonts w:hint="eastAsia" w:ascii="仿宋" w:hAnsi="仿宋" w:eastAsia="仿宋" w:cs="仿宋"/>
                <w:sz w:val="22"/>
              </w:rPr>
              <w:t>序号</w:t>
            </w:r>
          </w:p>
        </w:tc>
        <w:tc>
          <w:tcPr>
            <w:tcW w:w="1989" w:type="dxa"/>
            <w:shd w:val="clear" w:color="auto" w:fill="FFFF00"/>
            <w:noWrap/>
            <w:vAlign w:val="center"/>
          </w:tcPr>
          <w:p w14:paraId="215E6EFC">
            <w:pPr>
              <w:spacing w:line="420" w:lineRule="exact"/>
              <w:ind w:firstLine="440" w:firstLineChars="200"/>
              <w:jc w:val="left"/>
              <w:rPr>
                <w:rFonts w:ascii="仿宋" w:hAnsi="仿宋" w:eastAsia="仿宋" w:cs="仿宋"/>
                <w:sz w:val="22"/>
              </w:rPr>
            </w:pPr>
            <w:r>
              <w:rPr>
                <w:rFonts w:hint="eastAsia" w:ascii="仿宋" w:hAnsi="仿宋" w:eastAsia="仿宋" w:cs="仿宋"/>
                <w:sz w:val="22"/>
              </w:rPr>
              <w:t>项目内容</w:t>
            </w:r>
          </w:p>
        </w:tc>
        <w:tc>
          <w:tcPr>
            <w:tcW w:w="4626" w:type="dxa"/>
            <w:shd w:val="clear" w:color="auto" w:fill="FFFF00"/>
            <w:noWrap/>
            <w:vAlign w:val="center"/>
          </w:tcPr>
          <w:p w14:paraId="2B29B9A4">
            <w:pPr>
              <w:spacing w:line="420" w:lineRule="exact"/>
              <w:ind w:firstLine="440" w:firstLineChars="200"/>
              <w:jc w:val="left"/>
              <w:rPr>
                <w:rFonts w:ascii="仿宋" w:hAnsi="仿宋" w:eastAsia="仿宋" w:cs="仿宋"/>
                <w:sz w:val="22"/>
              </w:rPr>
            </w:pPr>
            <w:r>
              <w:rPr>
                <w:rFonts w:hint="eastAsia" w:ascii="仿宋" w:hAnsi="仿宋" w:eastAsia="仿宋" w:cs="仿宋"/>
                <w:sz w:val="22"/>
              </w:rPr>
              <w:t>约定内容</w:t>
            </w:r>
          </w:p>
        </w:tc>
        <w:tc>
          <w:tcPr>
            <w:tcW w:w="2230" w:type="dxa"/>
            <w:shd w:val="clear" w:color="auto" w:fill="FFFF00"/>
            <w:noWrap/>
            <w:vAlign w:val="center"/>
          </w:tcPr>
          <w:p w14:paraId="139A4861">
            <w:pPr>
              <w:spacing w:line="420" w:lineRule="exact"/>
              <w:ind w:firstLine="440" w:firstLineChars="200"/>
              <w:jc w:val="left"/>
              <w:rPr>
                <w:rFonts w:ascii="仿宋" w:hAnsi="仿宋" w:eastAsia="仿宋" w:cs="仿宋"/>
                <w:sz w:val="22"/>
              </w:rPr>
            </w:pPr>
            <w:r>
              <w:rPr>
                <w:rFonts w:hint="eastAsia" w:ascii="仿宋" w:hAnsi="仿宋" w:eastAsia="仿宋" w:cs="仿宋"/>
                <w:sz w:val="22"/>
              </w:rPr>
              <w:t>备注</w:t>
            </w:r>
          </w:p>
        </w:tc>
      </w:tr>
      <w:tr w14:paraId="0B5A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shd w:val="clear" w:color="auto" w:fill="FFFF00"/>
            <w:noWrap/>
            <w:vAlign w:val="center"/>
          </w:tcPr>
          <w:p w14:paraId="47075783">
            <w:pPr>
              <w:spacing w:line="420" w:lineRule="exact"/>
              <w:jc w:val="left"/>
              <w:rPr>
                <w:rFonts w:ascii="仿宋" w:hAnsi="仿宋" w:eastAsia="仿宋" w:cs="仿宋"/>
                <w:sz w:val="22"/>
              </w:rPr>
            </w:pPr>
            <w:r>
              <w:rPr>
                <w:rFonts w:hint="eastAsia" w:ascii="仿宋" w:hAnsi="仿宋" w:eastAsia="仿宋" w:cs="仿宋"/>
                <w:sz w:val="22"/>
              </w:rPr>
              <w:t>1</w:t>
            </w:r>
          </w:p>
        </w:tc>
        <w:tc>
          <w:tcPr>
            <w:tcW w:w="1989" w:type="dxa"/>
            <w:shd w:val="clear" w:color="auto" w:fill="FFFF00"/>
            <w:noWrap/>
            <w:vAlign w:val="center"/>
          </w:tcPr>
          <w:p w14:paraId="25B16FA7">
            <w:pPr>
              <w:spacing w:line="420" w:lineRule="exact"/>
              <w:jc w:val="left"/>
              <w:rPr>
                <w:rFonts w:ascii="仿宋" w:hAnsi="仿宋" w:eastAsia="仿宋" w:cs="仿宋"/>
                <w:sz w:val="22"/>
              </w:rPr>
            </w:pPr>
            <w:r>
              <w:rPr>
                <w:rFonts w:hint="eastAsia" w:ascii="仿宋" w:hAnsi="仿宋" w:eastAsia="仿宋" w:cs="仿宋"/>
                <w:sz w:val="22"/>
              </w:rPr>
              <w:t>主要技术标准</w:t>
            </w:r>
          </w:p>
        </w:tc>
        <w:tc>
          <w:tcPr>
            <w:tcW w:w="4626" w:type="dxa"/>
            <w:shd w:val="clear" w:color="auto" w:fill="FFFF00"/>
            <w:noWrap/>
            <w:vAlign w:val="center"/>
          </w:tcPr>
          <w:p w14:paraId="5F682977">
            <w:pPr>
              <w:spacing w:line="420" w:lineRule="exact"/>
              <w:ind w:firstLine="440" w:firstLineChars="200"/>
              <w:jc w:val="left"/>
              <w:rPr>
                <w:rFonts w:ascii="仿宋" w:hAnsi="仿宋" w:eastAsia="仿宋" w:cs="仿宋"/>
                <w:sz w:val="22"/>
              </w:rPr>
            </w:pPr>
            <w:r>
              <w:rPr>
                <w:rFonts w:hint="eastAsia" w:ascii="仿宋" w:hAnsi="仿宋" w:eastAsia="仿宋" w:cs="仿宋"/>
                <w:sz w:val="22"/>
              </w:rPr>
              <w:t>按招标文件要求相关规定执行。</w:t>
            </w:r>
          </w:p>
        </w:tc>
        <w:tc>
          <w:tcPr>
            <w:tcW w:w="2230" w:type="dxa"/>
            <w:shd w:val="clear" w:color="auto" w:fill="FFFF00"/>
            <w:noWrap/>
            <w:vAlign w:val="center"/>
          </w:tcPr>
          <w:p w14:paraId="4A1D5788">
            <w:pPr>
              <w:spacing w:line="420" w:lineRule="exact"/>
              <w:ind w:firstLine="440" w:firstLineChars="200"/>
              <w:jc w:val="left"/>
              <w:rPr>
                <w:rFonts w:ascii="仿宋" w:hAnsi="仿宋" w:eastAsia="仿宋" w:cs="仿宋"/>
                <w:sz w:val="22"/>
              </w:rPr>
            </w:pPr>
            <w:r>
              <w:rPr>
                <w:rFonts w:hint="eastAsia" w:ascii="仿宋" w:hAnsi="仿宋" w:eastAsia="仿宋" w:cs="仿宋"/>
                <w:sz w:val="22"/>
              </w:rPr>
              <w:t>详见招标文件要求</w:t>
            </w:r>
          </w:p>
        </w:tc>
      </w:tr>
      <w:tr w14:paraId="7E75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20" w:type="dxa"/>
            <w:shd w:val="clear" w:color="auto" w:fill="FFFF00"/>
            <w:noWrap/>
            <w:vAlign w:val="center"/>
          </w:tcPr>
          <w:p w14:paraId="27B2B247">
            <w:pPr>
              <w:spacing w:line="420" w:lineRule="exact"/>
              <w:jc w:val="left"/>
              <w:rPr>
                <w:rFonts w:ascii="仿宋" w:hAnsi="仿宋" w:eastAsia="仿宋" w:cs="仿宋"/>
                <w:sz w:val="22"/>
              </w:rPr>
            </w:pPr>
            <w:r>
              <w:rPr>
                <w:rFonts w:hint="eastAsia" w:ascii="仿宋" w:hAnsi="仿宋" w:eastAsia="仿宋" w:cs="仿宋"/>
                <w:sz w:val="22"/>
              </w:rPr>
              <w:t>2</w:t>
            </w:r>
          </w:p>
        </w:tc>
        <w:tc>
          <w:tcPr>
            <w:tcW w:w="1989" w:type="dxa"/>
            <w:shd w:val="clear" w:color="auto" w:fill="FFFF00"/>
            <w:noWrap/>
            <w:vAlign w:val="center"/>
          </w:tcPr>
          <w:p w14:paraId="737ECF25">
            <w:pPr>
              <w:spacing w:line="420" w:lineRule="exact"/>
              <w:jc w:val="left"/>
              <w:rPr>
                <w:rFonts w:ascii="仿宋" w:hAnsi="仿宋" w:eastAsia="仿宋" w:cs="仿宋"/>
                <w:sz w:val="22"/>
              </w:rPr>
            </w:pPr>
            <w:r>
              <w:rPr>
                <w:rFonts w:hint="eastAsia" w:ascii="仿宋" w:hAnsi="仿宋" w:eastAsia="仿宋" w:cs="仿宋"/>
                <w:sz w:val="22"/>
              </w:rPr>
              <w:t>服务周期</w:t>
            </w:r>
          </w:p>
        </w:tc>
        <w:tc>
          <w:tcPr>
            <w:tcW w:w="4626" w:type="dxa"/>
            <w:shd w:val="clear" w:color="auto" w:fill="FFFF00"/>
            <w:noWrap/>
            <w:vAlign w:val="center"/>
          </w:tcPr>
          <w:p w14:paraId="030C865C">
            <w:pPr>
              <w:spacing w:line="420" w:lineRule="exact"/>
              <w:ind w:firstLine="440" w:firstLineChars="200"/>
              <w:jc w:val="left"/>
              <w:rPr>
                <w:rFonts w:ascii="仿宋" w:hAnsi="仿宋" w:eastAsia="仿宋" w:cs="仿宋"/>
                <w:sz w:val="22"/>
              </w:rPr>
            </w:pPr>
            <w:r>
              <w:rPr>
                <w:rFonts w:hint="eastAsia" w:ascii="仿宋" w:hAnsi="仿宋" w:eastAsia="仿宋" w:cs="仿宋"/>
                <w:sz w:val="22"/>
              </w:rPr>
              <w:t>第一个批次      日历天（包括完成该批次勘测定界及报批相关全部工作），之后批次报批时间以委托方的任务书为准。</w:t>
            </w:r>
          </w:p>
        </w:tc>
        <w:tc>
          <w:tcPr>
            <w:tcW w:w="2230" w:type="dxa"/>
            <w:shd w:val="clear" w:color="auto" w:fill="FFFF00"/>
            <w:noWrap/>
            <w:vAlign w:val="center"/>
          </w:tcPr>
          <w:p w14:paraId="68C2EC82">
            <w:pPr>
              <w:spacing w:line="420" w:lineRule="exact"/>
              <w:ind w:firstLine="440" w:firstLineChars="200"/>
              <w:jc w:val="left"/>
              <w:rPr>
                <w:rFonts w:ascii="仿宋" w:hAnsi="仿宋" w:eastAsia="仿宋" w:cs="仿宋"/>
                <w:sz w:val="22"/>
              </w:rPr>
            </w:pPr>
          </w:p>
        </w:tc>
      </w:tr>
      <w:tr w14:paraId="667D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0" w:type="dxa"/>
            <w:shd w:val="clear" w:color="auto" w:fill="FFFF00"/>
            <w:noWrap/>
            <w:vAlign w:val="center"/>
          </w:tcPr>
          <w:p w14:paraId="60688740">
            <w:pPr>
              <w:spacing w:line="420" w:lineRule="exact"/>
              <w:jc w:val="left"/>
              <w:rPr>
                <w:rFonts w:ascii="仿宋" w:hAnsi="仿宋" w:eastAsia="仿宋" w:cs="仿宋"/>
                <w:sz w:val="22"/>
              </w:rPr>
            </w:pPr>
            <w:r>
              <w:rPr>
                <w:rFonts w:hint="eastAsia" w:ascii="仿宋" w:hAnsi="仿宋" w:eastAsia="仿宋" w:cs="仿宋"/>
                <w:sz w:val="22"/>
              </w:rPr>
              <w:t>3</w:t>
            </w:r>
          </w:p>
        </w:tc>
        <w:tc>
          <w:tcPr>
            <w:tcW w:w="1989" w:type="dxa"/>
            <w:shd w:val="clear" w:color="auto" w:fill="FFFF00"/>
            <w:noWrap/>
            <w:vAlign w:val="center"/>
          </w:tcPr>
          <w:p w14:paraId="4C88C0B6">
            <w:pPr>
              <w:spacing w:line="420" w:lineRule="exact"/>
              <w:jc w:val="left"/>
              <w:rPr>
                <w:rFonts w:ascii="仿宋" w:hAnsi="仿宋" w:eastAsia="仿宋" w:cs="仿宋"/>
                <w:sz w:val="22"/>
              </w:rPr>
            </w:pPr>
            <w:r>
              <w:rPr>
                <w:rFonts w:hint="eastAsia" w:ascii="仿宋" w:hAnsi="仿宋" w:eastAsia="仿宋" w:cs="仿宋"/>
                <w:sz w:val="22"/>
              </w:rPr>
              <w:t>承包人责任</w:t>
            </w:r>
          </w:p>
        </w:tc>
        <w:tc>
          <w:tcPr>
            <w:tcW w:w="4626" w:type="dxa"/>
            <w:shd w:val="clear" w:color="auto" w:fill="FFFF00"/>
            <w:noWrap/>
            <w:vAlign w:val="center"/>
          </w:tcPr>
          <w:p w14:paraId="0C88BB91">
            <w:pPr>
              <w:spacing w:line="420" w:lineRule="exact"/>
              <w:ind w:firstLine="440" w:firstLineChars="200"/>
              <w:jc w:val="left"/>
              <w:rPr>
                <w:rFonts w:ascii="仿宋" w:hAnsi="仿宋" w:eastAsia="仿宋" w:cs="仿宋"/>
                <w:sz w:val="22"/>
              </w:rPr>
            </w:pPr>
            <w:r>
              <w:rPr>
                <w:rFonts w:hint="eastAsia" w:ascii="仿宋" w:hAnsi="仿宋" w:eastAsia="仿宋" w:cs="仿宋"/>
                <w:sz w:val="22"/>
              </w:rPr>
              <w:t>详见合同条款。</w:t>
            </w:r>
          </w:p>
        </w:tc>
        <w:tc>
          <w:tcPr>
            <w:tcW w:w="2230" w:type="dxa"/>
            <w:shd w:val="clear" w:color="auto" w:fill="FFFF00"/>
            <w:noWrap/>
            <w:vAlign w:val="center"/>
          </w:tcPr>
          <w:p w14:paraId="4704167E">
            <w:pPr>
              <w:spacing w:line="420" w:lineRule="exact"/>
              <w:ind w:firstLine="440" w:firstLineChars="200"/>
              <w:jc w:val="left"/>
              <w:rPr>
                <w:rFonts w:ascii="仿宋" w:hAnsi="仿宋" w:eastAsia="仿宋" w:cs="仿宋"/>
                <w:sz w:val="22"/>
              </w:rPr>
            </w:pPr>
          </w:p>
        </w:tc>
      </w:tr>
      <w:tr w14:paraId="47C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20" w:type="dxa"/>
            <w:shd w:val="clear" w:color="auto" w:fill="FFFF00"/>
            <w:noWrap/>
            <w:vAlign w:val="center"/>
          </w:tcPr>
          <w:p w14:paraId="4D39916F">
            <w:pPr>
              <w:spacing w:line="420" w:lineRule="exact"/>
              <w:jc w:val="left"/>
              <w:rPr>
                <w:rFonts w:ascii="仿宋" w:hAnsi="仿宋" w:eastAsia="仿宋" w:cs="仿宋"/>
                <w:sz w:val="22"/>
              </w:rPr>
            </w:pPr>
            <w:r>
              <w:rPr>
                <w:rFonts w:hint="eastAsia" w:ascii="仿宋" w:hAnsi="仿宋" w:eastAsia="仿宋" w:cs="仿宋"/>
                <w:sz w:val="22"/>
              </w:rPr>
              <w:t>4</w:t>
            </w:r>
          </w:p>
        </w:tc>
        <w:tc>
          <w:tcPr>
            <w:tcW w:w="1989" w:type="dxa"/>
            <w:shd w:val="clear" w:color="auto" w:fill="FFFF00"/>
            <w:noWrap/>
            <w:vAlign w:val="center"/>
          </w:tcPr>
          <w:p w14:paraId="68272677">
            <w:pPr>
              <w:spacing w:line="420" w:lineRule="exact"/>
              <w:jc w:val="left"/>
              <w:rPr>
                <w:rFonts w:ascii="仿宋" w:hAnsi="仿宋" w:eastAsia="仿宋" w:cs="仿宋"/>
                <w:sz w:val="22"/>
              </w:rPr>
            </w:pPr>
            <w:r>
              <w:rPr>
                <w:rFonts w:hint="eastAsia" w:ascii="仿宋" w:hAnsi="仿宋" w:eastAsia="仿宋" w:cs="仿宋"/>
                <w:sz w:val="22"/>
              </w:rPr>
              <w:t>误期违约金额</w:t>
            </w:r>
          </w:p>
        </w:tc>
        <w:tc>
          <w:tcPr>
            <w:tcW w:w="4626" w:type="dxa"/>
            <w:shd w:val="clear" w:color="auto" w:fill="FFFF00"/>
            <w:noWrap/>
            <w:vAlign w:val="center"/>
          </w:tcPr>
          <w:p w14:paraId="6DAE1F82">
            <w:pPr>
              <w:spacing w:line="420" w:lineRule="exact"/>
              <w:ind w:firstLine="440" w:firstLineChars="200"/>
              <w:jc w:val="left"/>
              <w:rPr>
                <w:rFonts w:ascii="仿宋" w:hAnsi="仿宋" w:eastAsia="仿宋" w:cs="仿宋"/>
                <w:sz w:val="22"/>
              </w:rPr>
            </w:pPr>
            <w:r>
              <w:rPr>
                <w:rFonts w:hint="eastAsia" w:ascii="仿宋" w:hAnsi="仿宋" w:eastAsia="仿宋" w:cs="仿宋"/>
                <w:sz w:val="22"/>
              </w:rPr>
              <w:t>每延期一天罚人民币    元。</w:t>
            </w:r>
          </w:p>
        </w:tc>
        <w:tc>
          <w:tcPr>
            <w:tcW w:w="2230" w:type="dxa"/>
            <w:shd w:val="clear" w:color="auto" w:fill="FFFF00"/>
            <w:noWrap/>
            <w:vAlign w:val="center"/>
          </w:tcPr>
          <w:p w14:paraId="4BB13FC6">
            <w:pPr>
              <w:spacing w:line="420" w:lineRule="exact"/>
              <w:ind w:firstLine="440" w:firstLineChars="200"/>
              <w:jc w:val="left"/>
              <w:rPr>
                <w:rFonts w:ascii="仿宋" w:hAnsi="仿宋" w:eastAsia="仿宋" w:cs="仿宋"/>
                <w:sz w:val="22"/>
              </w:rPr>
            </w:pPr>
            <w:r>
              <w:rPr>
                <w:rFonts w:hint="eastAsia" w:ascii="仿宋" w:hAnsi="仿宋" w:eastAsia="仿宋" w:cs="仿宋"/>
                <w:sz w:val="22"/>
              </w:rPr>
              <w:t>投标人自行承诺，并在合同中约定</w:t>
            </w:r>
          </w:p>
        </w:tc>
      </w:tr>
      <w:tr w14:paraId="383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20" w:type="dxa"/>
            <w:shd w:val="clear" w:color="auto" w:fill="FFFF00"/>
            <w:noWrap/>
            <w:vAlign w:val="center"/>
          </w:tcPr>
          <w:p w14:paraId="0F9B6A32">
            <w:pPr>
              <w:spacing w:line="420" w:lineRule="exact"/>
              <w:jc w:val="left"/>
              <w:rPr>
                <w:rFonts w:ascii="仿宋" w:hAnsi="仿宋" w:eastAsia="仿宋" w:cs="仿宋"/>
                <w:sz w:val="22"/>
              </w:rPr>
            </w:pPr>
            <w:r>
              <w:rPr>
                <w:rFonts w:hint="eastAsia" w:ascii="仿宋" w:hAnsi="仿宋" w:eastAsia="仿宋" w:cs="仿宋"/>
                <w:sz w:val="22"/>
              </w:rPr>
              <w:t>5</w:t>
            </w:r>
          </w:p>
        </w:tc>
        <w:tc>
          <w:tcPr>
            <w:tcW w:w="1989" w:type="dxa"/>
            <w:shd w:val="clear" w:color="auto" w:fill="FFFF00"/>
            <w:noWrap/>
            <w:vAlign w:val="center"/>
          </w:tcPr>
          <w:p w14:paraId="2EBCCB94">
            <w:pPr>
              <w:spacing w:line="420" w:lineRule="exact"/>
              <w:jc w:val="left"/>
              <w:rPr>
                <w:rFonts w:ascii="仿宋" w:hAnsi="仿宋" w:eastAsia="仿宋" w:cs="仿宋"/>
                <w:sz w:val="22"/>
              </w:rPr>
            </w:pPr>
            <w:r>
              <w:rPr>
                <w:rFonts w:hint="eastAsia" w:ascii="仿宋" w:hAnsi="仿宋" w:eastAsia="仿宋" w:cs="仿宋"/>
                <w:sz w:val="22"/>
              </w:rPr>
              <w:t>服务承诺</w:t>
            </w:r>
          </w:p>
        </w:tc>
        <w:tc>
          <w:tcPr>
            <w:tcW w:w="4626" w:type="dxa"/>
            <w:shd w:val="clear" w:color="auto" w:fill="FFFF00"/>
            <w:noWrap/>
            <w:vAlign w:val="center"/>
          </w:tcPr>
          <w:p w14:paraId="7D64D553">
            <w:pPr>
              <w:spacing w:line="420" w:lineRule="exact"/>
              <w:ind w:firstLine="440" w:firstLineChars="200"/>
              <w:jc w:val="left"/>
              <w:rPr>
                <w:rFonts w:ascii="仿宋" w:hAnsi="仿宋" w:eastAsia="仿宋" w:cs="仿宋"/>
                <w:sz w:val="22"/>
              </w:rPr>
            </w:pPr>
          </w:p>
        </w:tc>
        <w:tc>
          <w:tcPr>
            <w:tcW w:w="2230" w:type="dxa"/>
            <w:shd w:val="clear" w:color="auto" w:fill="FFFF00"/>
            <w:noWrap/>
            <w:vAlign w:val="center"/>
          </w:tcPr>
          <w:p w14:paraId="3C17C3A1">
            <w:pPr>
              <w:spacing w:line="420" w:lineRule="exact"/>
              <w:ind w:firstLine="440" w:firstLineChars="200"/>
              <w:jc w:val="left"/>
              <w:rPr>
                <w:rFonts w:ascii="仿宋" w:hAnsi="仿宋" w:eastAsia="仿宋" w:cs="仿宋"/>
                <w:sz w:val="22"/>
              </w:rPr>
            </w:pPr>
            <w:r>
              <w:rPr>
                <w:rFonts w:hint="eastAsia" w:ascii="仿宋" w:hAnsi="仿宋" w:eastAsia="仿宋" w:cs="仿宋"/>
                <w:sz w:val="22"/>
              </w:rPr>
              <w:t>由投标人自行承诺</w:t>
            </w:r>
          </w:p>
        </w:tc>
      </w:tr>
    </w:tbl>
    <w:p w14:paraId="18F30EEE">
      <w:pPr>
        <w:spacing w:line="360" w:lineRule="auto"/>
        <w:rPr>
          <w:rFonts w:ascii="仿宋" w:hAnsi="仿宋" w:eastAsia="仿宋" w:cs="仿宋"/>
          <w:szCs w:val="21"/>
        </w:rPr>
      </w:pPr>
    </w:p>
    <w:p w14:paraId="47F246AB">
      <w:pPr>
        <w:spacing w:line="360" w:lineRule="auto"/>
        <w:rPr>
          <w:rFonts w:ascii="仿宋" w:hAnsi="仿宋" w:eastAsia="仿宋" w:cs="仿宋"/>
          <w:szCs w:val="21"/>
        </w:rPr>
      </w:pPr>
    </w:p>
    <w:p w14:paraId="52663478">
      <w:pPr>
        <w:spacing w:line="360" w:lineRule="auto"/>
        <w:rPr>
          <w:rFonts w:ascii="仿宋" w:hAnsi="仿宋" w:eastAsia="仿宋" w:cs="仿宋"/>
          <w:szCs w:val="21"/>
        </w:rPr>
      </w:pPr>
    </w:p>
    <w:p w14:paraId="660D0EF0">
      <w:pPr>
        <w:spacing w:line="360" w:lineRule="auto"/>
        <w:rPr>
          <w:rFonts w:ascii="仿宋" w:hAnsi="仿宋" w:eastAsia="仿宋" w:cs="仿宋"/>
          <w:szCs w:val="21"/>
        </w:rPr>
      </w:pPr>
    </w:p>
    <w:p w14:paraId="31F482C8">
      <w:pPr>
        <w:spacing w:line="360" w:lineRule="auto"/>
        <w:rPr>
          <w:rFonts w:ascii="仿宋" w:hAnsi="仿宋" w:eastAsia="仿宋" w:cs="仿宋"/>
          <w:szCs w:val="21"/>
        </w:rPr>
      </w:pPr>
    </w:p>
    <w:p w14:paraId="70DCF2FB">
      <w:pPr>
        <w:spacing w:line="360" w:lineRule="auto"/>
        <w:rPr>
          <w:rFonts w:ascii="仿宋" w:hAnsi="仿宋" w:eastAsia="仿宋" w:cs="仿宋"/>
          <w:szCs w:val="21"/>
        </w:rPr>
      </w:pPr>
    </w:p>
    <w:p w14:paraId="32510929">
      <w:pPr>
        <w:spacing w:line="360" w:lineRule="auto"/>
        <w:rPr>
          <w:rFonts w:ascii="仿宋" w:hAnsi="仿宋" w:eastAsia="仿宋" w:cs="仿宋"/>
          <w:szCs w:val="21"/>
        </w:rPr>
      </w:pPr>
    </w:p>
    <w:p w14:paraId="6C6261E3">
      <w:pPr>
        <w:spacing w:line="360" w:lineRule="auto"/>
        <w:rPr>
          <w:rFonts w:ascii="仿宋" w:hAnsi="仿宋" w:eastAsia="仿宋" w:cs="仿宋"/>
          <w:szCs w:val="21"/>
        </w:rPr>
      </w:pPr>
    </w:p>
    <w:p w14:paraId="78562ABB">
      <w:pPr>
        <w:spacing w:line="360" w:lineRule="auto"/>
        <w:rPr>
          <w:rFonts w:ascii="仿宋" w:hAnsi="仿宋" w:eastAsia="仿宋" w:cs="仿宋"/>
          <w:szCs w:val="21"/>
        </w:rPr>
      </w:pPr>
    </w:p>
    <w:p w14:paraId="5532FFC7">
      <w:pPr>
        <w:spacing w:line="360" w:lineRule="auto"/>
        <w:rPr>
          <w:rFonts w:ascii="仿宋" w:hAnsi="仿宋" w:eastAsia="仿宋" w:cs="仿宋"/>
          <w:szCs w:val="21"/>
        </w:rPr>
      </w:pPr>
    </w:p>
    <w:p w14:paraId="2C5A8993">
      <w:pPr>
        <w:spacing w:line="360" w:lineRule="auto"/>
        <w:rPr>
          <w:rFonts w:ascii="仿宋" w:hAnsi="仿宋" w:eastAsia="仿宋" w:cs="仿宋"/>
          <w:szCs w:val="21"/>
        </w:rPr>
      </w:pPr>
    </w:p>
    <w:p w14:paraId="177DD798">
      <w:pPr>
        <w:spacing w:line="360" w:lineRule="auto"/>
        <w:rPr>
          <w:rFonts w:ascii="仿宋" w:hAnsi="仿宋" w:eastAsia="仿宋" w:cs="仿宋"/>
          <w:szCs w:val="21"/>
        </w:rPr>
      </w:pPr>
    </w:p>
    <w:p w14:paraId="40085818">
      <w:pPr>
        <w:spacing w:line="360" w:lineRule="auto"/>
        <w:rPr>
          <w:rFonts w:ascii="仿宋" w:hAnsi="仿宋" w:eastAsia="仿宋" w:cs="仿宋"/>
          <w:szCs w:val="21"/>
        </w:rPr>
      </w:pPr>
    </w:p>
    <w:p w14:paraId="2CABD81E">
      <w:pPr>
        <w:spacing w:line="420" w:lineRule="exact"/>
        <w:ind w:firstLine="420" w:firstLineChars="200"/>
        <w:jc w:val="left"/>
        <w:rPr>
          <w:rFonts w:ascii="仿宋" w:hAnsi="仿宋" w:eastAsia="仿宋" w:cs="仿宋"/>
          <w:bCs/>
          <w:iCs/>
          <w:szCs w:val="32"/>
        </w:rPr>
      </w:pPr>
    </w:p>
    <w:p w14:paraId="3DD25C6B">
      <w:pPr>
        <w:pStyle w:val="3"/>
        <w:numPr>
          <w:ilvl w:val="0"/>
          <w:numId w:val="0"/>
        </w:numPr>
        <w:snapToGrid w:val="0"/>
        <w:spacing w:beforeLines="50" w:afterLines="50" w:line="360" w:lineRule="auto"/>
        <w:jc w:val="center"/>
        <w:rPr>
          <w:rFonts w:ascii="仿宋" w:hAnsi="仿宋" w:eastAsia="仿宋" w:cs="仿宋"/>
          <w:bCs/>
          <w:iCs/>
          <w:szCs w:val="32"/>
        </w:rPr>
      </w:pPr>
      <w:bookmarkStart w:id="219" w:name="_Toc5736"/>
      <w:r>
        <w:rPr>
          <w:rFonts w:hint="eastAsia" w:ascii="仿宋" w:hAnsi="仿宋" w:eastAsia="仿宋" w:cs="仿宋"/>
          <w:bCs/>
          <w:iCs/>
          <w:szCs w:val="32"/>
        </w:rPr>
        <w:t>三、法定代表人身份证明书</w:t>
      </w:r>
      <w:bookmarkEnd w:id="213"/>
      <w:r>
        <w:rPr>
          <w:rFonts w:hint="eastAsia" w:ascii="仿宋" w:hAnsi="仿宋" w:eastAsia="仿宋" w:cs="仿宋"/>
          <w:bCs/>
          <w:iCs/>
          <w:szCs w:val="32"/>
        </w:rPr>
        <w:t>及授权委托书</w:t>
      </w:r>
      <w:bookmarkEnd w:id="219"/>
    </w:p>
    <w:p w14:paraId="012A871B">
      <w:pPr>
        <w:spacing w:beforeLines="50" w:afterLines="50" w:line="360" w:lineRule="auto"/>
        <w:jc w:val="center"/>
        <w:rPr>
          <w:rFonts w:ascii="仿宋" w:hAnsi="仿宋" w:eastAsia="仿宋" w:cs="仿宋"/>
          <w:b/>
          <w:bCs/>
          <w:sz w:val="28"/>
          <w:szCs w:val="28"/>
        </w:rPr>
      </w:pPr>
      <w:r>
        <w:rPr>
          <w:rFonts w:hint="eastAsia" w:ascii="仿宋" w:hAnsi="仿宋" w:eastAsia="仿宋" w:cs="仿宋"/>
          <w:b/>
          <w:bCs/>
          <w:sz w:val="28"/>
          <w:szCs w:val="28"/>
        </w:rPr>
        <w:t>（一）法定代表人身份证明书</w:t>
      </w:r>
    </w:p>
    <w:p w14:paraId="7D54196D">
      <w:pPr>
        <w:spacing w:line="360" w:lineRule="auto"/>
        <w:ind w:firstLine="612"/>
        <w:rPr>
          <w:rFonts w:ascii="仿宋" w:hAnsi="仿宋" w:eastAsia="仿宋" w:cs="仿宋"/>
          <w:sz w:val="28"/>
          <w:szCs w:val="24"/>
        </w:rPr>
      </w:pPr>
    </w:p>
    <w:p w14:paraId="42400BB8">
      <w:pPr>
        <w:spacing w:line="360" w:lineRule="auto"/>
        <w:ind w:firstLine="612"/>
        <w:rPr>
          <w:rFonts w:ascii="仿宋" w:hAnsi="仿宋" w:eastAsia="仿宋" w:cs="仿宋"/>
          <w:sz w:val="22"/>
        </w:rPr>
      </w:pPr>
      <w:r>
        <w:rPr>
          <w:rFonts w:hint="eastAsia" w:ascii="仿宋" w:hAnsi="仿宋" w:eastAsia="仿宋" w:cs="仿宋"/>
          <w:sz w:val="22"/>
        </w:rPr>
        <w:t>单位名称：</w:t>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p>
    <w:p w14:paraId="134F1F55">
      <w:pPr>
        <w:spacing w:line="360" w:lineRule="auto"/>
        <w:ind w:firstLine="610"/>
        <w:rPr>
          <w:rFonts w:ascii="仿宋" w:hAnsi="仿宋" w:eastAsia="仿宋" w:cs="仿宋"/>
          <w:sz w:val="22"/>
        </w:rPr>
      </w:pPr>
    </w:p>
    <w:p w14:paraId="6EB9F577">
      <w:pPr>
        <w:spacing w:line="360" w:lineRule="auto"/>
        <w:ind w:firstLine="610"/>
        <w:rPr>
          <w:rFonts w:ascii="仿宋" w:hAnsi="仿宋" w:eastAsia="仿宋" w:cs="仿宋"/>
          <w:sz w:val="22"/>
          <w:u w:val="single"/>
        </w:rPr>
      </w:pPr>
      <w:r>
        <w:rPr>
          <w:rFonts w:hint="eastAsia" w:ascii="仿宋" w:hAnsi="仿宋" w:eastAsia="仿宋" w:cs="仿宋"/>
          <w:sz w:val="22"/>
        </w:rPr>
        <w:t>地    址：</w:t>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r>
        <w:rPr>
          <w:rFonts w:hint="eastAsia" w:ascii="仿宋" w:hAnsi="仿宋" w:eastAsia="仿宋" w:cs="仿宋"/>
          <w:sz w:val="22"/>
          <w:u w:val="single"/>
        </w:rPr>
        <w:tab/>
      </w:r>
    </w:p>
    <w:p w14:paraId="54A30988">
      <w:pPr>
        <w:spacing w:line="360" w:lineRule="auto"/>
        <w:ind w:firstLine="610"/>
        <w:rPr>
          <w:rFonts w:ascii="仿宋" w:hAnsi="仿宋" w:eastAsia="仿宋" w:cs="仿宋"/>
          <w:sz w:val="22"/>
        </w:rPr>
      </w:pPr>
    </w:p>
    <w:p w14:paraId="12C98B41">
      <w:pPr>
        <w:spacing w:line="360" w:lineRule="auto"/>
        <w:ind w:firstLine="610"/>
        <w:rPr>
          <w:rFonts w:ascii="仿宋" w:hAnsi="仿宋" w:eastAsia="仿宋" w:cs="仿宋"/>
          <w:sz w:val="22"/>
          <w:u w:val="single"/>
        </w:rPr>
      </w:pPr>
      <w:r>
        <w:rPr>
          <w:rFonts w:hint="eastAsia" w:ascii="仿宋" w:hAnsi="仿宋" w:eastAsia="仿宋" w:cs="仿宋"/>
          <w:sz w:val="22"/>
        </w:rPr>
        <w:t>姓    名： 性别： 年龄： 职务：</w:t>
      </w:r>
      <w:r>
        <w:rPr>
          <w:rFonts w:hint="eastAsia" w:ascii="仿宋" w:hAnsi="仿宋" w:eastAsia="仿宋" w:cs="仿宋"/>
          <w:sz w:val="22"/>
          <w:u w:val="single"/>
        </w:rPr>
        <w:tab/>
      </w:r>
      <w:r>
        <w:rPr>
          <w:rFonts w:hint="eastAsia" w:ascii="仿宋" w:hAnsi="仿宋" w:eastAsia="仿宋" w:cs="仿宋"/>
          <w:sz w:val="22"/>
          <w:u w:val="single"/>
        </w:rPr>
        <w:tab/>
      </w:r>
    </w:p>
    <w:p w14:paraId="35091614">
      <w:pPr>
        <w:spacing w:line="360" w:lineRule="auto"/>
        <w:ind w:left="661" w:leftChars="315" w:firstLine="220" w:firstLineChars="100"/>
        <w:rPr>
          <w:rFonts w:ascii="仿宋" w:hAnsi="仿宋" w:eastAsia="仿宋" w:cs="仿宋"/>
          <w:sz w:val="22"/>
        </w:rPr>
      </w:pPr>
    </w:p>
    <w:p w14:paraId="07D947EC">
      <w:pPr>
        <w:spacing w:line="360" w:lineRule="auto"/>
        <w:ind w:firstLine="880" w:firstLineChars="400"/>
        <w:rPr>
          <w:rFonts w:ascii="仿宋" w:hAnsi="仿宋" w:eastAsia="仿宋" w:cs="仿宋"/>
          <w:sz w:val="22"/>
        </w:rPr>
      </w:pPr>
      <w:r>
        <w:rPr>
          <w:rFonts w:hint="eastAsia" w:ascii="仿宋" w:hAnsi="仿宋" w:eastAsia="仿宋" w:cs="仿宋"/>
          <w:sz w:val="22"/>
        </w:rPr>
        <w:t>系</w:t>
      </w:r>
      <w:r>
        <w:rPr>
          <w:rFonts w:hint="eastAsia" w:ascii="仿宋" w:hAnsi="仿宋" w:eastAsia="仿宋" w:cs="仿宋"/>
          <w:sz w:val="22"/>
          <w:u w:val="single"/>
        </w:rPr>
        <w:t xml:space="preserve">           (供应商名称)  </w:t>
      </w:r>
      <w:r>
        <w:rPr>
          <w:rFonts w:hint="eastAsia" w:ascii="仿宋" w:hAnsi="仿宋" w:eastAsia="仿宋" w:cs="仿宋"/>
          <w:sz w:val="22"/>
        </w:rPr>
        <w:t>的法定代表人。为</w:t>
      </w:r>
      <w:r>
        <w:rPr>
          <w:rFonts w:hint="eastAsia" w:ascii="仿宋" w:hAnsi="仿宋" w:eastAsia="仿宋" w:cs="仿宋"/>
          <w:sz w:val="22"/>
          <w:u w:val="single"/>
        </w:rPr>
        <w:t xml:space="preserve">    （项目名称） </w:t>
      </w:r>
      <w:r>
        <w:rPr>
          <w:rFonts w:hint="eastAsia" w:ascii="仿宋" w:hAnsi="仿宋" w:eastAsia="仿宋" w:cs="仿宋"/>
          <w:sz w:val="22"/>
        </w:rPr>
        <w:t>签署上述响应文件、进行合同谈判、签署合同和处理与之有关的一切事务。</w:t>
      </w:r>
    </w:p>
    <w:p w14:paraId="7E42F6FA">
      <w:pPr>
        <w:spacing w:line="360" w:lineRule="auto"/>
        <w:ind w:firstLine="610"/>
        <w:rPr>
          <w:rFonts w:ascii="仿宋" w:hAnsi="仿宋" w:eastAsia="仿宋" w:cs="仿宋"/>
          <w:sz w:val="22"/>
        </w:rPr>
      </w:pPr>
    </w:p>
    <w:p w14:paraId="7535F791">
      <w:pPr>
        <w:spacing w:line="360" w:lineRule="auto"/>
        <w:ind w:firstLine="610"/>
        <w:rPr>
          <w:rFonts w:ascii="仿宋" w:hAnsi="仿宋" w:eastAsia="仿宋" w:cs="仿宋"/>
          <w:sz w:val="22"/>
        </w:rPr>
      </w:pPr>
      <w:r>
        <w:rPr>
          <w:rFonts w:hint="eastAsia" w:ascii="仿宋" w:hAnsi="仿宋" w:eastAsia="仿宋" w:cs="仿宋"/>
          <w:sz w:val="22"/>
        </w:rPr>
        <w:t>特此证明。</w:t>
      </w:r>
    </w:p>
    <w:p w14:paraId="4E89A9A5">
      <w:pPr>
        <w:tabs>
          <w:tab w:val="left" w:pos="720"/>
          <w:tab w:val="left" w:pos="900"/>
        </w:tabs>
        <w:spacing w:line="360" w:lineRule="auto"/>
        <w:ind w:firstLine="440" w:firstLineChars="200"/>
        <w:rPr>
          <w:rFonts w:ascii="仿宋" w:hAnsi="仿宋" w:eastAsia="仿宋" w:cs="仿宋"/>
          <w:sz w:val="22"/>
        </w:rPr>
      </w:pPr>
    </w:p>
    <w:p w14:paraId="5BE42A9B">
      <w:pPr>
        <w:spacing w:line="360" w:lineRule="auto"/>
        <w:ind w:firstLine="576" w:firstLineChars="262"/>
        <w:rPr>
          <w:rFonts w:ascii="仿宋" w:hAnsi="仿宋" w:eastAsia="仿宋" w:cs="仿宋"/>
          <w:sz w:val="22"/>
        </w:rPr>
      </w:pPr>
      <w:r>
        <w:rPr>
          <w:rFonts w:hint="eastAsia" w:ascii="仿宋" w:hAnsi="仿宋" w:eastAsia="仿宋" w:cs="仿宋"/>
          <w:sz w:val="22"/>
        </w:rPr>
        <w:t>供应商：</w:t>
      </w:r>
      <w:r>
        <w:rPr>
          <w:rFonts w:hint="eastAsia" w:ascii="仿宋" w:hAnsi="仿宋" w:eastAsia="仿宋" w:cs="仿宋"/>
          <w:sz w:val="22"/>
          <w:u w:val="single"/>
        </w:rPr>
        <w:t xml:space="preserve">             (盖单位公章) </w:t>
      </w:r>
    </w:p>
    <w:p w14:paraId="28401DAD">
      <w:pPr>
        <w:spacing w:line="360" w:lineRule="auto"/>
        <w:rPr>
          <w:rFonts w:ascii="仿宋" w:hAnsi="仿宋" w:eastAsia="仿宋" w:cs="仿宋"/>
          <w:sz w:val="22"/>
        </w:rPr>
      </w:pPr>
    </w:p>
    <w:p w14:paraId="71CABA4B">
      <w:pPr>
        <w:spacing w:line="360" w:lineRule="auto"/>
        <w:ind w:firstLine="585" w:firstLineChars="266"/>
        <w:rPr>
          <w:rFonts w:ascii="仿宋" w:hAnsi="仿宋" w:eastAsia="仿宋" w:cs="仿宋"/>
          <w:sz w:val="22"/>
        </w:rPr>
      </w:pPr>
      <w:r>
        <w:rPr>
          <w:rFonts w:hint="eastAsia" w:ascii="仿宋" w:hAnsi="仿宋" w:eastAsia="仿宋" w:cs="仿宋"/>
          <w:sz w:val="22"/>
        </w:rPr>
        <w:t>日  期：年月日</w:t>
      </w:r>
    </w:p>
    <w:p w14:paraId="37C6F71A">
      <w:pPr>
        <w:spacing w:line="360" w:lineRule="auto"/>
        <w:ind w:firstLine="576" w:firstLineChars="262"/>
        <w:rPr>
          <w:rFonts w:ascii="仿宋" w:hAnsi="仿宋" w:eastAsia="仿宋" w:cs="仿宋"/>
          <w:b/>
          <w:sz w:val="22"/>
        </w:rPr>
      </w:pPr>
    </w:p>
    <w:p w14:paraId="35816DE9">
      <w:pPr>
        <w:spacing w:line="360" w:lineRule="auto"/>
        <w:jc w:val="center"/>
        <w:rPr>
          <w:rFonts w:ascii="仿宋" w:hAnsi="仿宋" w:eastAsia="仿宋" w:cs="仿宋"/>
          <w:sz w:val="28"/>
          <w:szCs w:val="24"/>
        </w:rPr>
      </w:pPr>
      <w:r>
        <w:rPr>
          <w:rFonts w:hint="eastAsia" w:ascii="仿宋" w:hAnsi="仿宋" w:eastAsia="仿宋" w:cs="仿宋"/>
          <w:b/>
          <w:sz w:val="22"/>
          <w:szCs w:val="24"/>
        </w:rPr>
        <w:t>(附法定代表人身份证双面复印件)</w:t>
      </w:r>
    </w:p>
    <w:tbl>
      <w:tblPr>
        <w:tblStyle w:val="2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58F4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4728" w:type="dxa"/>
            <w:vAlign w:val="center"/>
          </w:tcPr>
          <w:p w14:paraId="40AE571A">
            <w:pPr>
              <w:spacing w:line="360" w:lineRule="auto"/>
              <w:jc w:val="center"/>
              <w:rPr>
                <w:rFonts w:ascii="仿宋" w:hAnsi="仿宋" w:eastAsia="仿宋" w:cs="仿宋"/>
                <w:sz w:val="24"/>
              </w:rPr>
            </w:pPr>
          </w:p>
        </w:tc>
        <w:tc>
          <w:tcPr>
            <w:tcW w:w="4729" w:type="dxa"/>
            <w:vAlign w:val="center"/>
          </w:tcPr>
          <w:p w14:paraId="0F121B3F">
            <w:pPr>
              <w:spacing w:line="360" w:lineRule="auto"/>
              <w:jc w:val="center"/>
              <w:rPr>
                <w:rFonts w:ascii="仿宋" w:hAnsi="仿宋" w:eastAsia="仿宋" w:cs="仿宋"/>
                <w:sz w:val="24"/>
              </w:rPr>
            </w:pPr>
          </w:p>
        </w:tc>
      </w:tr>
    </w:tbl>
    <w:p w14:paraId="0BA5E525">
      <w:pPr>
        <w:spacing w:beforeLines="50" w:afterLines="50" w:line="360" w:lineRule="auto"/>
        <w:jc w:val="center"/>
        <w:rPr>
          <w:rFonts w:ascii="仿宋" w:hAnsi="仿宋" w:eastAsia="仿宋" w:cs="仿宋"/>
        </w:rPr>
      </w:pPr>
      <w:r>
        <w:rPr>
          <w:rFonts w:hint="eastAsia" w:ascii="仿宋" w:hAnsi="仿宋" w:eastAsia="仿宋" w:cs="仿宋"/>
          <w:b/>
          <w:bCs/>
          <w:sz w:val="28"/>
          <w:szCs w:val="28"/>
        </w:rPr>
        <w:t>（二）法定代表人授权委托书</w:t>
      </w:r>
    </w:p>
    <w:p w14:paraId="66149ACA">
      <w:pPr>
        <w:spacing w:line="620" w:lineRule="exact"/>
        <w:ind w:firstLine="330" w:firstLineChars="150"/>
        <w:rPr>
          <w:rFonts w:ascii="仿宋" w:hAnsi="仿宋" w:eastAsia="仿宋" w:cs="仿宋"/>
          <w:sz w:val="22"/>
        </w:rPr>
      </w:pPr>
      <w:r>
        <w:rPr>
          <w:rFonts w:hint="eastAsia" w:ascii="仿宋" w:hAnsi="仿宋" w:eastAsia="仿宋" w:cs="仿宋"/>
          <w:sz w:val="22"/>
        </w:rPr>
        <w:t>本人作为</w:t>
      </w:r>
      <w:r>
        <w:rPr>
          <w:rFonts w:hint="eastAsia" w:ascii="仿宋" w:hAnsi="仿宋" w:eastAsia="仿宋" w:cs="仿宋"/>
          <w:sz w:val="22"/>
          <w:u w:val="single"/>
        </w:rPr>
        <w:t xml:space="preserve">  (供应商名称) </w:t>
      </w:r>
      <w:r>
        <w:rPr>
          <w:rFonts w:hint="eastAsia" w:ascii="仿宋" w:hAnsi="仿宋" w:eastAsia="仿宋" w:cs="仿宋"/>
          <w:sz w:val="22"/>
        </w:rPr>
        <w:t>的法定代表人，在此授权我公司的，其身份证号码：，作为我的合法授权代表，以我的名义并代表我公司全权处理</w:t>
      </w:r>
      <w:r>
        <w:rPr>
          <w:rFonts w:hint="eastAsia" w:ascii="仿宋" w:hAnsi="仿宋" w:eastAsia="仿宋" w:cs="仿宋"/>
          <w:sz w:val="22"/>
          <w:u w:val="single"/>
        </w:rPr>
        <w:t xml:space="preserve">    （项目名称）     </w:t>
      </w:r>
      <w:r>
        <w:rPr>
          <w:rFonts w:hint="eastAsia" w:ascii="仿宋" w:hAnsi="仿宋" w:eastAsia="仿宋" w:cs="仿宋"/>
          <w:sz w:val="22"/>
        </w:rPr>
        <w:t>投标的各项事宜。</w:t>
      </w:r>
    </w:p>
    <w:p w14:paraId="22C2A988">
      <w:pPr>
        <w:spacing w:line="620" w:lineRule="exact"/>
        <w:ind w:firstLine="330" w:firstLineChars="150"/>
        <w:rPr>
          <w:rFonts w:ascii="仿宋" w:hAnsi="仿宋" w:eastAsia="仿宋" w:cs="仿宋"/>
          <w:sz w:val="22"/>
        </w:rPr>
      </w:pPr>
      <w:r>
        <w:rPr>
          <w:rFonts w:hint="eastAsia" w:ascii="仿宋" w:hAnsi="仿宋" w:eastAsia="仿宋" w:cs="仿宋"/>
          <w:sz w:val="22"/>
        </w:rPr>
        <w:t>本授权书期限自年月日起至年月日止。</w:t>
      </w:r>
    </w:p>
    <w:p w14:paraId="58883DF1">
      <w:pPr>
        <w:spacing w:line="620" w:lineRule="exact"/>
        <w:ind w:firstLine="330" w:firstLineChars="150"/>
        <w:rPr>
          <w:rFonts w:ascii="仿宋" w:hAnsi="仿宋" w:eastAsia="仿宋" w:cs="仿宋"/>
          <w:sz w:val="22"/>
        </w:rPr>
      </w:pPr>
      <w:r>
        <w:rPr>
          <w:rFonts w:hint="eastAsia" w:ascii="仿宋" w:hAnsi="仿宋" w:eastAsia="仿宋" w:cs="仿宋"/>
          <w:sz w:val="22"/>
        </w:rPr>
        <w:t>在此授权范围和期限内，被授权人所实施的行为具有法律效力，授权人予以认可。</w:t>
      </w:r>
    </w:p>
    <w:p w14:paraId="7B56D773">
      <w:pPr>
        <w:spacing w:line="360" w:lineRule="auto"/>
        <w:ind w:firstLine="697"/>
        <w:rPr>
          <w:rFonts w:ascii="仿宋" w:hAnsi="仿宋" w:eastAsia="仿宋" w:cs="仿宋"/>
          <w:sz w:val="22"/>
        </w:rPr>
      </w:pPr>
    </w:p>
    <w:p w14:paraId="791BDBB9">
      <w:pPr>
        <w:spacing w:line="360" w:lineRule="auto"/>
        <w:ind w:firstLine="697"/>
        <w:rPr>
          <w:rFonts w:ascii="仿宋" w:hAnsi="仿宋" w:eastAsia="仿宋" w:cs="仿宋"/>
          <w:b/>
          <w:sz w:val="22"/>
        </w:rPr>
      </w:pPr>
      <w:r>
        <w:rPr>
          <w:rFonts w:hint="eastAsia" w:ascii="仿宋" w:hAnsi="仿宋" w:eastAsia="仿宋" w:cs="仿宋"/>
          <w:b/>
          <w:sz w:val="22"/>
        </w:rPr>
        <w:t>授权代表无转委托权，特此委托。</w:t>
      </w:r>
    </w:p>
    <w:p w14:paraId="7E5A6145">
      <w:pPr>
        <w:ind w:left="1260"/>
        <w:rPr>
          <w:rFonts w:ascii="仿宋" w:hAnsi="仿宋" w:eastAsia="仿宋" w:cs="仿宋"/>
          <w:sz w:val="22"/>
        </w:rPr>
      </w:pPr>
    </w:p>
    <w:p w14:paraId="27644A64">
      <w:pPr>
        <w:ind w:left="1260"/>
        <w:rPr>
          <w:rFonts w:ascii="仿宋" w:hAnsi="仿宋" w:eastAsia="仿宋" w:cs="仿宋"/>
          <w:sz w:val="22"/>
        </w:rPr>
      </w:pPr>
    </w:p>
    <w:p w14:paraId="5002830D">
      <w:pPr>
        <w:spacing w:line="600" w:lineRule="exact"/>
        <w:ind w:right="-27" w:firstLine="651" w:firstLineChars="296"/>
        <w:rPr>
          <w:rFonts w:ascii="仿宋" w:hAnsi="仿宋" w:eastAsia="仿宋" w:cs="仿宋"/>
          <w:sz w:val="22"/>
          <w:u w:val="single"/>
        </w:rPr>
      </w:pPr>
      <w:r>
        <w:rPr>
          <w:rFonts w:hint="eastAsia" w:ascii="仿宋" w:hAnsi="仿宋" w:eastAsia="仿宋" w:cs="仿宋"/>
          <w:sz w:val="22"/>
        </w:rPr>
        <w:t>授权代表：</w:t>
      </w:r>
      <w:r>
        <w:rPr>
          <w:rFonts w:hint="eastAsia" w:ascii="仿宋" w:hAnsi="仿宋" w:eastAsia="仿宋" w:cs="仿宋"/>
          <w:sz w:val="22"/>
          <w:u w:val="single"/>
        </w:rPr>
        <w:t xml:space="preserve">        (签字或盖章)</w:t>
      </w:r>
      <w:r>
        <w:rPr>
          <w:rFonts w:hint="eastAsia" w:ascii="仿宋" w:hAnsi="仿宋" w:eastAsia="仿宋" w:cs="仿宋"/>
          <w:sz w:val="22"/>
        </w:rPr>
        <w:t xml:space="preserve">   性别：   年龄：</w:t>
      </w:r>
      <w:r>
        <w:rPr>
          <w:rFonts w:hint="eastAsia" w:ascii="仿宋" w:hAnsi="仿宋" w:eastAsia="仿宋" w:cs="仿宋"/>
          <w:sz w:val="22"/>
          <w:u w:val="single"/>
        </w:rPr>
        <w:tab/>
      </w:r>
    </w:p>
    <w:p w14:paraId="108168C4">
      <w:pPr>
        <w:spacing w:line="600" w:lineRule="exact"/>
        <w:ind w:firstLine="651" w:firstLineChars="296"/>
        <w:rPr>
          <w:rFonts w:ascii="仿宋" w:hAnsi="仿宋" w:eastAsia="仿宋" w:cs="仿宋"/>
          <w:sz w:val="22"/>
          <w:u w:val="single"/>
        </w:rPr>
      </w:pPr>
      <w:r>
        <w:rPr>
          <w:rFonts w:hint="eastAsia" w:ascii="仿宋" w:hAnsi="仿宋" w:eastAsia="仿宋" w:cs="仿宋"/>
          <w:sz w:val="22"/>
        </w:rPr>
        <w:t>身份证号码： 职务：</w:t>
      </w:r>
      <w:r>
        <w:rPr>
          <w:rFonts w:hint="eastAsia" w:ascii="仿宋" w:hAnsi="仿宋" w:eastAsia="仿宋" w:cs="仿宋"/>
          <w:sz w:val="22"/>
          <w:u w:val="single"/>
        </w:rPr>
        <w:tab/>
      </w:r>
    </w:p>
    <w:p w14:paraId="0CCDCF80">
      <w:pPr>
        <w:spacing w:line="600" w:lineRule="exact"/>
        <w:ind w:firstLine="651" w:firstLineChars="296"/>
        <w:rPr>
          <w:rFonts w:ascii="仿宋" w:hAnsi="仿宋" w:eastAsia="仿宋" w:cs="仿宋"/>
          <w:sz w:val="22"/>
        </w:rPr>
      </w:pPr>
      <w:r>
        <w:rPr>
          <w:rFonts w:hint="eastAsia" w:ascii="仿宋" w:hAnsi="仿宋" w:eastAsia="仿宋" w:cs="仿宋"/>
          <w:sz w:val="22"/>
        </w:rPr>
        <w:t>供应商：(盖单位公章)</w:t>
      </w:r>
    </w:p>
    <w:p w14:paraId="7DD32E18">
      <w:pPr>
        <w:spacing w:line="600" w:lineRule="exact"/>
        <w:ind w:firstLine="651" w:firstLineChars="296"/>
        <w:rPr>
          <w:rFonts w:ascii="仿宋" w:hAnsi="仿宋" w:eastAsia="仿宋" w:cs="仿宋"/>
          <w:sz w:val="22"/>
        </w:rPr>
      </w:pPr>
      <w:r>
        <w:rPr>
          <w:rFonts w:hint="eastAsia" w:ascii="仿宋" w:hAnsi="仿宋" w:eastAsia="仿宋" w:cs="仿宋"/>
          <w:sz w:val="22"/>
        </w:rPr>
        <w:t>法定代表人：(签字或盖章)</w:t>
      </w:r>
    </w:p>
    <w:p w14:paraId="3E01A659">
      <w:pPr>
        <w:spacing w:line="600" w:lineRule="exact"/>
        <w:ind w:firstLine="651" w:firstLineChars="296"/>
        <w:rPr>
          <w:rFonts w:ascii="仿宋" w:hAnsi="仿宋" w:eastAsia="仿宋" w:cs="仿宋"/>
          <w:sz w:val="22"/>
        </w:rPr>
      </w:pPr>
      <w:r>
        <w:rPr>
          <w:rFonts w:hint="eastAsia" w:ascii="仿宋" w:hAnsi="仿宋" w:eastAsia="仿宋" w:cs="仿宋"/>
          <w:sz w:val="22"/>
        </w:rPr>
        <w:t>日期：年月日</w:t>
      </w:r>
    </w:p>
    <w:p w14:paraId="17AAD7E8">
      <w:pPr>
        <w:spacing w:line="360" w:lineRule="auto"/>
        <w:jc w:val="center"/>
        <w:rPr>
          <w:rFonts w:ascii="仿宋" w:hAnsi="仿宋" w:eastAsia="仿宋" w:cs="仿宋"/>
          <w:b/>
          <w:sz w:val="22"/>
          <w:szCs w:val="24"/>
        </w:rPr>
      </w:pPr>
      <w:r>
        <w:rPr>
          <w:rFonts w:hint="eastAsia" w:ascii="仿宋" w:hAnsi="仿宋" w:eastAsia="仿宋" w:cs="仿宋"/>
          <w:b/>
          <w:sz w:val="22"/>
          <w:szCs w:val="24"/>
        </w:rPr>
        <w:t>(附被授权的代理人身份证双面复印件)</w:t>
      </w:r>
    </w:p>
    <w:tbl>
      <w:tblPr>
        <w:tblStyle w:val="2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3C10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4728" w:type="dxa"/>
            <w:vAlign w:val="center"/>
          </w:tcPr>
          <w:p w14:paraId="6EF6B9AD">
            <w:pPr>
              <w:spacing w:line="360" w:lineRule="auto"/>
              <w:jc w:val="center"/>
              <w:rPr>
                <w:rFonts w:ascii="仿宋" w:hAnsi="仿宋" w:eastAsia="仿宋" w:cs="仿宋"/>
                <w:b/>
                <w:bCs/>
                <w:sz w:val="22"/>
                <w:szCs w:val="21"/>
              </w:rPr>
            </w:pPr>
          </w:p>
        </w:tc>
        <w:tc>
          <w:tcPr>
            <w:tcW w:w="4729" w:type="dxa"/>
            <w:vAlign w:val="center"/>
          </w:tcPr>
          <w:p w14:paraId="2A87075C">
            <w:pPr>
              <w:spacing w:line="360" w:lineRule="auto"/>
              <w:jc w:val="center"/>
              <w:rPr>
                <w:rFonts w:ascii="仿宋" w:hAnsi="仿宋" w:eastAsia="仿宋" w:cs="仿宋"/>
                <w:b/>
                <w:bCs/>
                <w:sz w:val="22"/>
                <w:szCs w:val="21"/>
              </w:rPr>
            </w:pPr>
          </w:p>
        </w:tc>
      </w:tr>
    </w:tbl>
    <w:p w14:paraId="31D96D92">
      <w:pPr>
        <w:rPr>
          <w:rFonts w:ascii="仿宋" w:hAnsi="仿宋" w:eastAsia="仿宋" w:cs="仿宋"/>
        </w:rPr>
      </w:pPr>
    </w:p>
    <w:p w14:paraId="4271A6DC">
      <w:pPr>
        <w:pStyle w:val="9"/>
        <w:rPr>
          <w:rFonts w:ascii="仿宋" w:hAnsi="仿宋" w:eastAsia="仿宋" w:cs="仿宋"/>
        </w:rPr>
      </w:pPr>
    </w:p>
    <w:p w14:paraId="0A3C294A">
      <w:pPr>
        <w:pStyle w:val="4"/>
        <w:numPr>
          <w:ilvl w:val="0"/>
          <w:numId w:val="0"/>
        </w:numPr>
        <w:rPr>
          <w:rFonts w:ascii="仿宋" w:hAnsi="仿宋" w:eastAsia="仿宋" w:cs="仿宋"/>
          <w:sz w:val="30"/>
          <w:szCs w:val="30"/>
        </w:rPr>
      </w:pPr>
      <w:bookmarkStart w:id="220" w:name="_Toc14395"/>
      <w:r>
        <w:rPr>
          <w:rFonts w:hint="eastAsia" w:ascii="仿宋" w:hAnsi="仿宋" w:eastAsia="仿宋" w:cs="仿宋"/>
          <w:szCs w:val="32"/>
        </w:rPr>
        <w:t>四、</w:t>
      </w:r>
      <w:bookmarkEnd w:id="214"/>
      <w:bookmarkStart w:id="221" w:name="_Toc62031173"/>
      <w:r>
        <w:rPr>
          <w:rFonts w:hint="eastAsia" w:ascii="仿宋" w:hAnsi="仿宋" w:eastAsia="仿宋" w:cs="仿宋"/>
          <w:sz w:val="30"/>
          <w:szCs w:val="30"/>
        </w:rPr>
        <w:t>投标报价不低于企业成本价的承诺</w:t>
      </w:r>
      <w:bookmarkEnd w:id="220"/>
    </w:p>
    <w:p w14:paraId="196AA2FF">
      <w:pPr>
        <w:rPr>
          <w:rFonts w:ascii="仿宋" w:hAnsi="仿宋" w:eastAsia="仿宋" w:cs="仿宋"/>
          <w:sz w:val="24"/>
          <w:szCs w:val="24"/>
        </w:rPr>
      </w:pPr>
      <w:r>
        <w:rPr>
          <w:rFonts w:hint="eastAsia" w:ascii="仿宋" w:hAnsi="仿宋" w:eastAsia="仿宋" w:cs="仿宋"/>
          <w:sz w:val="24"/>
          <w:szCs w:val="24"/>
        </w:rPr>
        <w:t>格式自拟，由各投标人自行承诺。</w:t>
      </w:r>
    </w:p>
    <w:p w14:paraId="6B2DA986">
      <w:pPr>
        <w:spacing w:line="420" w:lineRule="exact"/>
        <w:ind w:firstLine="420" w:firstLineChars="200"/>
        <w:jc w:val="left"/>
        <w:rPr>
          <w:rFonts w:ascii="仿宋" w:hAnsi="仿宋" w:eastAsia="仿宋" w:cs="仿宋"/>
          <w:szCs w:val="32"/>
        </w:rPr>
      </w:pPr>
    </w:p>
    <w:p w14:paraId="16F9E2C7">
      <w:pPr>
        <w:rPr>
          <w:rFonts w:ascii="仿宋" w:hAnsi="仿宋" w:eastAsia="仿宋" w:cs="仿宋"/>
        </w:rPr>
      </w:pPr>
    </w:p>
    <w:p w14:paraId="0034BD9A">
      <w:pPr>
        <w:widowControl/>
        <w:jc w:val="left"/>
        <w:rPr>
          <w:rFonts w:ascii="仿宋" w:hAnsi="仿宋" w:eastAsia="仿宋" w:cs="仿宋"/>
          <w:b/>
          <w:kern w:val="0"/>
          <w:sz w:val="32"/>
          <w:szCs w:val="32"/>
        </w:rPr>
      </w:pPr>
      <w:r>
        <w:rPr>
          <w:rFonts w:hint="eastAsia" w:ascii="仿宋" w:hAnsi="仿宋" w:eastAsia="仿宋" w:cs="仿宋"/>
          <w:szCs w:val="32"/>
        </w:rPr>
        <w:br w:type="page"/>
      </w:r>
    </w:p>
    <w:p w14:paraId="5E42F133">
      <w:pPr>
        <w:pStyle w:val="3"/>
        <w:numPr>
          <w:ilvl w:val="1"/>
          <w:numId w:val="0"/>
        </w:numPr>
        <w:snapToGrid w:val="0"/>
        <w:spacing w:before="100" w:beforeAutospacing="1" w:after="100" w:afterAutospacing="1" w:line="360" w:lineRule="auto"/>
        <w:jc w:val="center"/>
        <w:rPr>
          <w:rFonts w:ascii="仿宋" w:hAnsi="仿宋" w:eastAsia="仿宋" w:cs="仿宋"/>
          <w:szCs w:val="32"/>
        </w:rPr>
      </w:pPr>
      <w:bookmarkStart w:id="222" w:name="_Toc28063"/>
      <w:r>
        <w:rPr>
          <w:rFonts w:hint="eastAsia" w:ascii="仿宋" w:hAnsi="仿宋" w:eastAsia="仿宋" w:cs="仿宋"/>
          <w:szCs w:val="32"/>
        </w:rPr>
        <w:t>五、技术文件</w:t>
      </w:r>
      <w:bookmarkEnd w:id="221"/>
      <w:bookmarkEnd w:id="222"/>
    </w:p>
    <w:p w14:paraId="6782137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供应商根据第六章采购需求及第四章评审内容自行编制技术文件：</w:t>
      </w:r>
    </w:p>
    <w:p w14:paraId="1C46E0B9">
      <w:pPr>
        <w:spacing w:line="360" w:lineRule="auto"/>
        <w:ind w:left="640"/>
        <w:rPr>
          <w:rFonts w:ascii="仿宋" w:hAnsi="仿宋" w:eastAsia="仿宋" w:cs="仿宋"/>
          <w:b/>
          <w:bCs/>
          <w:sz w:val="28"/>
          <w:szCs w:val="28"/>
        </w:rPr>
      </w:pPr>
    </w:p>
    <w:p w14:paraId="3C63116E">
      <w:pPr>
        <w:rPr>
          <w:rFonts w:ascii="仿宋" w:hAnsi="仿宋" w:eastAsia="仿宋" w:cs="仿宋"/>
          <w:b/>
          <w:bCs/>
          <w:sz w:val="32"/>
          <w:szCs w:val="32"/>
        </w:rPr>
      </w:pPr>
      <w:bookmarkStart w:id="223" w:name="_Toc337822257"/>
      <w:bookmarkStart w:id="224" w:name="_Toc426623011"/>
      <w:bookmarkStart w:id="225" w:name="_Toc11502"/>
      <w:r>
        <w:rPr>
          <w:rFonts w:hint="eastAsia" w:ascii="仿宋" w:hAnsi="仿宋" w:eastAsia="仿宋" w:cs="仿宋"/>
          <w:b/>
          <w:bCs/>
          <w:sz w:val="32"/>
          <w:szCs w:val="32"/>
        </w:rPr>
        <w:br w:type="page"/>
      </w:r>
      <w:bookmarkEnd w:id="223"/>
      <w:bookmarkEnd w:id="224"/>
      <w:bookmarkStart w:id="226" w:name="_Toc62031174"/>
    </w:p>
    <w:p w14:paraId="51A77BAB">
      <w:pPr>
        <w:pStyle w:val="2"/>
        <w:numPr>
          <w:ilvl w:val="3"/>
          <w:numId w:val="0"/>
        </w:numPr>
        <w:tabs>
          <w:tab w:val="left" w:pos="432"/>
          <w:tab w:val="clear" w:pos="720"/>
          <w:tab w:val="clear" w:pos="1665"/>
        </w:tabs>
        <w:spacing w:line="360" w:lineRule="auto"/>
        <w:rPr>
          <w:rFonts w:ascii="仿宋" w:hAnsi="仿宋" w:eastAsia="仿宋" w:cs="仿宋"/>
          <w:bCs w:val="0"/>
          <w:kern w:val="0"/>
          <w:sz w:val="32"/>
          <w:szCs w:val="32"/>
        </w:rPr>
      </w:pPr>
      <w:bookmarkStart w:id="227" w:name="_Toc16522"/>
      <w:r>
        <w:rPr>
          <w:rFonts w:hint="eastAsia" w:ascii="仿宋" w:hAnsi="仿宋" w:eastAsia="仿宋" w:cs="仿宋"/>
          <w:bCs w:val="0"/>
          <w:kern w:val="0"/>
          <w:sz w:val="32"/>
          <w:szCs w:val="32"/>
        </w:rPr>
        <w:t>六、</w:t>
      </w:r>
      <w:bookmarkEnd w:id="225"/>
      <w:bookmarkEnd w:id="226"/>
      <w:r>
        <w:rPr>
          <w:rFonts w:hint="eastAsia" w:ascii="仿宋" w:hAnsi="仿宋" w:eastAsia="仿宋" w:cs="仿宋"/>
          <w:bCs w:val="0"/>
          <w:kern w:val="0"/>
          <w:sz w:val="32"/>
          <w:szCs w:val="32"/>
        </w:rPr>
        <w:t>投标文件资格审查资料部分格式</w:t>
      </w:r>
      <w:bookmarkEnd w:id="227"/>
    </w:p>
    <w:p w14:paraId="5A08BFE8">
      <w:pPr>
        <w:pStyle w:val="2"/>
        <w:numPr>
          <w:ilvl w:val="3"/>
          <w:numId w:val="0"/>
        </w:numPr>
        <w:tabs>
          <w:tab w:val="left" w:pos="432"/>
          <w:tab w:val="clear" w:pos="720"/>
          <w:tab w:val="clear" w:pos="1665"/>
        </w:tabs>
        <w:spacing w:line="360" w:lineRule="auto"/>
        <w:rPr>
          <w:rFonts w:ascii="仿宋" w:hAnsi="仿宋" w:eastAsia="仿宋" w:cs="仿宋"/>
          <w:bCs w:val="0"/>
          <w:kern w:val="0"/>
          <w:sz w:val="32"/>
          <w:szCs w:val="32"/>
        </w:rPr>
      </w:pPr>
      <w:bookmarkStart w:id="228" w:name="_Toc332802331"/>
      <w:bookmarkStart w:id="229" w:name="_Toc2585"/>
      <w:bookmarkStart w:id="230" w:name="_Toc290487175"/>
      <w:bookmarkStart w:id="231" w:name="_Toc13598"/>
      <w:bookmarkStart w:id="232" w:name="_Toc25456"/>
      <w:bookmarkStart w:id="233" w:name="_Toc332803155"/>
      <w:bookmarkStart w:id="234" w:name="_Toc510518856"/>
      <w:bookmarkStart w:id="235" w:name="_Toc394062322"/>
      <w:bookmarkStart w:id="236" w:name="_Toc303254606"/>
      <w:r>
        <w:rPr>
          <w:rFonts w:hint="eastAsia" w:ascii="仿宋" w:hAnsi="仿宋" w:eastAsia="仿宋" w:cs="仿宋"/>
          <w:bCs w:val="0"/>
          <w:kern w:val="0"/>
          <w:sz w:val="32"/>
          <w:szCs w:val="32"/>
        </w:rPr>
        <w:t>（一）投标人基本情况表</w:t>
      </w:r>
      <w:bookmarkEnd w:id="228"/>
      <w:bookmarkEnd w:id="229"/>
      <w:bookmarkEnd w:id="230"/>
      <w:bookmarkEnd w:id="231"/>
      <w:bookmarkEnd w:id="232"/>
      <w:bookmarkEnd w:id="233"/>
      <w:bookmarkEnd w:id="234"/>
      <w:bookmarkEnd w:id="235"/>
      <w:bookmarkEnd w:id="23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676"/>
        <w:gridCol w:w="1960"/>
        <w:gridCol w:w="1981"/>
      </w:tblGrid>
      <w:tr w14:paraId="1D0E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602FD4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投标人全称</w:t>
            </w:r>
          </w:p>
        </w:tc>
        <w:tc>
          <w:tcPr>
            <w:tcW w:w="6617" w:type="dxa"/>
            <w:gridSpan w:val="3"/>
            <w:noWrap/>
            <w:vAlign w:val="center"/>
          </w:tcPr>
          <w:p w14:paraId="74B457CC">
            <w:pPr>
              <w:spacing w:line="360" w:lineRule="auto"/>
              <w:ind w:firstLine="560" w:firstLineChars="200"/>
              <w:rPr>
                <w:rFonts w:ascii="仿宋" w:hAnsi="仿宋" w:eastAsia="仿宋" w:cs="仿宋"/>
                <w:sz w:val="28"/>
                <w:szCs w:val="28"/>
              </w:rPr>
            </w:pPr>
          </w:p>
        </w:tc>
      </w:tr>
      <w:tr w14:paraId="10F8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4A949ED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主要业务范围</w:t>
            </w:r>
          </w:p>
        </w:tc>
        <w:tc>
          <w:tcPr>
            <w:tcW w:w="6617" w:type="dxa"/>
            <w:gridSpan w:val="3"/>
            <w:noWrap/>
            <w:vAlign w:val="center"/>
          </w:tcPr>
          <w:p w14:paraId="698393D1">
            <w:pPr>
              <w:spacing w:line="360" w:lineRule="auto"/>
              <w:ind w:firstLine="560" w:firstLineChars="200"/>
              <w:rPr>
                <w:rFonts w:ascii="仿宋" w:hAnsi="仿宋" w:eastAsia="仿宋" w:cs="仿宋"/>
                <w:sz w:val="28"/>
                <w:szCs w:val="28"/>
              </w:rPr>
            </w:pPr>
          </w:p>
        </w:tc>
      </w:tr>
      <w:tr w14:paraId="77D2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54879D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法定代表人姓名</w:t>
            </w:r>
          </w:p>
        </w:tc>
        <w:tc>
          <w:tcPr>
            <w:tcW w:w="2676" w:type="dxa"/>
            <w:noWrap/>
            <w:vAlign w:val="center"/>
          </w:tcPr>
          <w:p w14:paraId="4807BF98">
            <w:pPr>
              <w:spacing w:line="360" w:lineRule="auto"/>
              <w:ind w:firstLine="560" w:firstLineChars="200"/>
              <w:rPr>
                <w:rFonts w:ascii="仿宋" w:hAnsi="仿宋" w:eastAsia="仿宋" w:cs="仿宋"/>
                <w:sz w:val="28"/>
                <w:szCs w:val="28"/>
              </w:rPr>
            </w:pPr>
          </w:p>
        </w:tc>
        <w:tc>
          <w:tcPr>
            <w:tcW w:w="1960" w:type="dxa"/>
            <w:noWrap/>
            <w:vAlign w:val="center"/>
          </w:tcPr>
          <w:p w14:paraId="3CE6FCFB">
            <w:pPr>
              <w:spacing w:line="360" w:lineRule="auto"/>
              <w:rPr>
                <w:rFonts w:ascii="仿宋" w:hAnsi="仿宋" w:eastAsia="仿宋" w:cs="仿宋"/>
                <w:sz w:val="28"/>
                <w:szCs w:val="28"/>
              </w:rPr>
            </w:pPr>
            <w:r>
              <w:rPr>
                <w:rFonts w:hint="eastAsia" w:ascii="仿宋" w:hAnsi="仿宋" w:eastAsia="仿宋" w:cs="仿宋"/>
                <w:sz w:val="28"/>
                <w:szCs w:val="28"/>
              </w:rPr>
              <w:t>职    务</w:t>
            </w:r>
          </w:p>
        </w:tc>
        <w:tc>
          <w:tcPr>
            <w:tcW w:w="1981" w:type="dxa"/>
            <w:noWrap/>
            <w:vAlign w:val="center"/>
          </w:tcPr>
          <w:p w14:paraId="30AF64CF">
            <w:pPr>
              <w:spacing w:line="360" w:lineRule="auto"/>
              <w:ind w:firstLine="560" w:firstLineChars="200"/>
              <w:rPr>
                <w:rFonts w:ascii="仿宋" w:hAnsi="仿宋" w:eastAsia="仿宋" w:cs="仿宋"/>
                <w:sz w:val="28"/>
                <w:szCs w:val="28"/>
              </w:rPr>
            </w:pPr>
          </w:p>
        </w:tc>
      </w:tr>
      <w:tr w14:paraId="449F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2AB868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联系人</w:t>
            </w:r>
          </w:p>
        </w:tc>
        <w:tc>
          <w:tcPr>
            <w:tcW w:w="2676" w:type="dxa"/>
            <w:noWrap/>
            <w:vAlign w:val="center"/>
          </w:tcPr>
          <w:p w14:paraId="0139DD94">
            <w:pPr>
              <w:spacing w:line="360" w:lineRule="auto"/>
              <w:ind w:firstLine="560" w:firstLineChars="200"/>
              <w:rPr>
                <w:rFonts w:ascii="仿宋" w:hAnsi="仿宋" w:eastAsia="仿宋" w:cs="仿宋"/>
                <w:sz w:val="28"/>
                <w:szCs w:val="28"/>
              </w:rPr>
            </w:pPr>
          </w:p>
        </w:tc>
        <w:tc>
          <w:tcPr>
            <w:tcW w:w="1960" w:type="dxa"/>
            <w:noWrap/>
            <w:vAlign w:val="center"/>
          </w:tcPr>
          <w:p w14:paraId="08B4C72A">
            <w:pPr>
              <w:spacing w:line="360" w:lineRule="auto"/>
              <w:rPr>
                <w:rFonts w:ascii="仿宋" w:hAnsi="仿宋" w:eastAsia="仿宋" w:cs="仿宋"/>
                <w:sz w:val="28"/>
                <w:szCs w:val="28"/>
              </w:rPr>
            </w:pPr>
            <w:r>
              <w:rPr>
                <w:rFonts w:hint="eastAsia" w:ascii="仿宋" w:hAnsi="仿宋" w:eastAsia="仿宋" w:cs="仿宋"/>
                <w:sz w:val="28"/>
                <w:szCs w:val="28"/>
              </w:rPr>
              <w:t>联系电话及邮箱</w:t>
            </w:r>
          </w:p>
        </w:tc>
        <w:tc>
          <w:tcPr>
            <w:tcW w:w="1981" w:type="dxa"/>
            <w:noWrap/>
            <w:vAlign w:val="center"/>
          </w:tcPr>
          <w:p w14:paraId="622C6C22">
            <w:pPr>
              <w:spacing w:line="360" w:lineRule="auto"/>
              <w:ind w:firstLine="560" w:firstLineChars="200"/>
              <w:rPr>
                <w:rFonts w:ascii="仿宋" w:hAnsi="仿宋" w:eastAsia="仿宋" w:cs="仿宋"/>
                <w:sz w:val="28"/>
                <w:szCs w:val="28"/>
              </w:rPr>
            </w:pPr>
          </w:p>
        </w:tc>
      </w:tr>
      <w:tr w14:paraId="1E3C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4B6ED2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投标人地址</w:t>
            </w:r>
          </w:p>
        </w:tc>
        <w:tc>
          <w:tcPr>
            <w:tcW w:w="2676" w:type="dxa"/>
            <w:noWrap/>
            <w:vAlign w:val="center"/>
          </w:tcPr>
          <w:p w14:paraId="04C8F890">
            <w:pPr>
              <w:spacing w:line="360" w:lineRule="auto"/>
              <w:ind w:firstLine="560" w:firstLineChars="200"/>
              <w:rPr>
                <w:rFonts w:ascii="仿宋" w:hAnsi="仿宋" w:eastAsia="仿宋" w:cs="仿宋"/>
                <w:sz w:val="28"/>
                <w:szCs w:val="28"/>
              </w:rPr>
            </w:pPr>
          </w:p>
        </w:tc>
        <w:tc>
          <w:tcPr>
            <w:tcW w:w="1960" w:type="dxa"/>
            <w:noWrap/>
            <w:vAlign w:val="center"/>
          </w:tcPr>
          <w:p w14:paraId="7F6F3745">
            <w:pPr>
              <w:spacing w:line="360" w:lineRule="auto"/>
              <w:rPr>
                <w:rFonts w:ascii="仿宋" w:hAnsi="仿宋" w:eastAsia="仿宋" w:cs="仿宋"/>
                <w:sz w:val="28"/>
                <w:szCs w:val="28"/>
              </w:rPr>
            </w:pPr>
            <w:r>
              <w:rPr>
                <w:rFonts w:hint="eastAsia" w:ascii="仿宋" w:hAnsi="仿宋" w:eastAsia="仿宋" w:cs="仿宋"/>
                <w:sz w:val="28"/>
                <w:szCs w:val="28"/>
              </w:rPr>
              <w:t>邮政编码</w:t>
            </w:r>
          </w:p>
        </w:tc>
        <w:tc>
          <w:tcPr>
            <w:tcW w:w="1981" w:type="dxa"/>
            <w:noWrap/>
            <w:vAlign w:val="center"/>
          </w:tcPr>
          <w:p w14:paraId="0B156C8E">
            <w:pPr>
              <w:spacing w:line="360" w:lineRule="auto"/>
              <w:ind w:firstLine="560" w:firstLineChars="200"/>
              <w:rPr>
                <w:rFonts w:ascii="仿宋" w:hAnsi="仿宋" w:eastAsia="仿宋" w:cs="仿宋"/>
                <w:sz w:val="28"/>
                <w:szCs w:val="28"/>
              </w:rPr>
            </w:pPr>
          </w:p>
        </w:tc>
      </w:tr>
      <w:tr w14:paraId="551E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37D80A8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座    机</w:t>
            </w:r>
          </w:p>
        </w:tc>
        <w:tc>
          <w:tcPr>
            <w:tcW w:w="2676" w:type="dxa"/>
            <w:noWrap/>
            <w:vAlign w:val="center"/>
          </w:tcPr>
          <w:p w14:paraId="109EB77F">
            <w:pPr>
              <w:spacing w:line="360" w:lineRule="auto"/>
              <w:ind w:firstLine="560" w:firstLineChars="200"/>
              <w:rPr>
                <w:rFonts w:ascii="仿宋" w:hAnsi="仿宋" w:eastAsia="仿宋" w:cs="仿宋"/>
                <w:sz w:val="28"/>
                <w:szCs w:val="28"/>
              </w:rPr>
            </w:pPr>
          </w:p>
        </w:tc>
        <w:tc>
          <w:tcPr>
            <w:tcW w:w="1960" w:type="dxa"/>
            <w:noWrap/>
            <w:vAlign w:val="center"/>
          </w:tcPr>
          <w:p w14:paraId="652227C0">
            <w:pPr>
              <w:spacing w:line="360" w:lineRule="auto"/>
              <w:rPr>
                <w:rFonts w:ascii="仿宋" w:hAnsi="仿宋" w:eastAsia="仿宋" w:cs="仿宋"/>
                <w:sz w:val="28"/>
                <w:szCs w:val="28"/>
              </w:rPr>
            </w:pPr>
            <w:r>
              <w:rPr>
                <w:rFonts w:hint="eastAsia" w:ascii="仿宋" w:hAnsi="仿宋" w:eastAsia="仿宋" w:cs="仿宋"/>
                <w:sz w:val="28"/>
                <w:szCs w:val="28"/>
              </w:rPr>
              <w:t>传    真</w:t>
            </w:r>
          </w:p>
        </w:tc>
        <w:tc>
          <w:tcPr>
            <w:tcW w:w="1981" w:type="dxa"/>
            <w:noWrap/>
            <w:vAlign w:val="center"/>
          </w:tcPr>
          <w:p w14:paraId="75B968F7">
            <w:pPr>
              <w:spacing w:line="360" w:lineRule="auto"/>
              <w:ind w:firstLine="560" w:firstLineChars="200"/>
              <w:rPr>
                <w:rFonts w:ascii="仿宋" w:hAnsi="仿宋" w:eastAsia="仿宋" w:cs="仿宋"/>
                <w:sz w:val="28"/>
                <w:szCs w:val="28"/>
              </w:rPr>
            </w:pPr>
          </w:p>
        </w:tc>
      </w:tr>
      <w:tr w14:paraId="21C7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noWrap/>
            <w:vAlign w:val="center"/>
          </w:tcPr>
          <w:p w14:paraId="574D20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成立日期</w:t>
            </w:r>
          </w:p>
        </w:tc>
        <w:tc>
          <w:tcPr>
            <w:tcW w:w="2676" w:type="dxa"/>
            <w:noWrap/>
            <w:vAlign w:val="center"/>
          </w:tcPr>
          <w:p w14:paraId="74A7052A">
            <w:pPr>
              <w:spacing w:line="360" w:lineRule="auto"/>
              <w:ind w:firstLine="560" w:firstLineChars="200"/>
              <w:rPr>
                <w:rFonts w:ascii="仿宋" w:hAnsi="仿宋" w:eastAsia="仿宋" w:cs="仿宋"/>
                <w:sz w:val="28"/>
                <w:szCs w:val="28"/>
              </w:rPr>
            </w:pPr>
          </w:p>
        </w:tc>
        <w:tc>
          <w:tcPr>
            <w:tcW w:w="1960" w:type="dxa"/>
            <w:noWrap/>
            <w:vAlign w:val="center"/>
          </w:tcPr>
          <w:p w14:paraId="2753CDE9">
            <w:pPr>
              <w:spacing w:line="360" w:lineRule="auto"/>
              <w:rPr>
                <w:rFonts w:ascii="仿宋" w:hAnsi="仿宋" w:eastAsia="仿宋" w:cs="仿宋"/>
                <w:sz w:val="28"/>
                <w:szCs w:val="28"/>
              </w:rPr>
            </w:pPr>
            <w:r>
              <w:rPr>
                <w:rFonts w:hint="eastAsia" w:ascii="仿宋" w:hAnsi="仿宋" w:eastAsia="仿宋" w:cs="仿宋"/>
                <w:sz w:val="28"/>
                <w:szCs w:val="28"/>
              </w:rPr>
              <w:t>现有职工人数</w:t>
            </w:r>
          </w:p>
        </w:tc>
        <w:tc>
          <w:tcPr>
            <w:tcW w:w="1981" w:type="dxa"/>
            <w:noWrap/>
            <w:vAlign w:val="center"/>
          </w:tcPr>
          <w:p w14:paraId="672D1812">
            <w:pPr>
              <w:spacing w:line="360" w:lineRule="auto"/>
              <w:ind w:firstLine="560" w:firstLineChars="200"/>
              <w:rPr>
                <w:rFonts w:ascii="仿宋" w:hAnsi="仿宋" w:eastAsia="仿宋" w:cs="仿宋"/>
                <w:sz w:val="28"/>
                <w:szCs w:val="28"/>
              </w:rPr>
            </w:pPr>
          </w:p>
        </w:tc>
      </w:tr>
      <w:tr w14:paraId="709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561" w:type="dxa"/>
            <w:noWrap/>
            <w:vAlign w:val="center"/>
          </w:tcPr>
          <w:p w14:paraId="3B9D47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等级资质证书</w:t>
            </w:r>
          </w:p>
        </w:tc>
        <w:tc>
          <w:tcPr>
            <w:tcW w:w="6617" w:type="dxa"/>
            <w:gridSpan w:val="3"/>
            <w:noWrap/>
            <w:vAlign w:val="center"/>
          </w:tcPr>
          <w:p w14:paraId="4B7A76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等  级：           证书号：</w:t>
            </w:r>
          </w:p>
        </w:tc>
      </w:tr>
      <w:tr w14:paraId="584B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jc w:val="center"/>
        </w:trPr>
        <w:tc>
          <w:tcPr>
            <w:tcW w:w="9178" w:type="dxa"/>
            <w:gridSpan w:val="4"/>
            <w:noWrap/>
            <w:vAlign w:val="center"/>
          </w:tcPr>
          <w:p w14:paraId="64C6EE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单位组织机构简介： </w:t>
            </w:r>
          </w:p>
          <w:p w14:paraId="29ABE4AC">
            <w:pPr>
              <w:spacing w:line="360" w:lineRule="auto"/>
              <w:ind w:firstLine="560" w:firstLineChars="200"/>
              <w:rPr>
                <w:rFonts w:ascii="仿宋" w:hAnsi="仿宋" w:eastAsia="仿宋" w:cs="仿宋"/>
                <w:sz w:val="28"/>
                <w:szCs w:val="28"/>
              </w:rPr>
            </w:pPr>
          </w:p>
        </w:tc>
      </w:tr>
    </w:tbl>
    <w:p w14:paraId="4DC1943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注：1.投标人需随此表附上营业执照副本等文件的原件扫描件。</w:t>
      </w:r>
    </w:p>
    <w:p w14:paraId="5811BC72">
      <w:pPr>
        <w:pStyle w:val="2"/>
        <w:numPr>
          <w:ilvl w:val="3"/>
          <w:numId w:val="0"/>
        </w:numPr>
        <w:tabs>
          <w:tab w:val="left" w:pos="432"/>
          <w:tab w:val="clear" w:pos="720"/>
          <w:tab w:val="clear" w:pos="1665"/>
        </w:tabs>
        <w:spacing w:line="360" w:lineRule="auto"/>
        <w:rPr>
          <w:rFonts w:ascii="仿宋" w:hAnsi="仿宋" w:eastAsia="仿宋" w:cs="仿宋"/>
          <w:bCs w:val="0"/>
          <w:kern w:val="0"/>
          <w:sz w:val="32"/>
          <w:szCs w:val="32"/>
        </w:rPr>
      </w:pPr>
      <w:bookmarkStart w:id="237" w:name="_Toc394062325"/>
      <w:bookmarkStart w:id="238" w:name="_Toc8373"/>
      <w:bookmarkStart w:id="239" w:name="_Toc510518857"/>
      <w:bookmarkStart w:id="240" w:name="_Toc2298"/>
      <w:bookmarkStart w:id="241" w:name="_Toc28177"/>
      <w:r>
        <w:rPr>
          <w:rFonts w:hint="eastAsia" w:ascii="仿宋" w:hAnsi="仿宋" w:eastAsia="仿宋" w:cs="仿宋"/>
          <w:bCs w:val="0"/>
          <w:kern w:val="0"/>
          <w:sz w:val="32"/>
          <w:szCs w:val="32"/>
        </w:rPr>
        <w:t>（二）企业近年</w:t>
      </w:r>
      <w:bookmarkEnd w:id="237"/>
      <w:r>
        <w:rPr>
          <w:rFonts w:hint="eastAsia" w:ascii="仿宋" w:hAnsi="仿宋" w:eastAsia="仿宋" w:cs="仿宋"/>
          <w:bCs w:val="0"/>
          <w:kern w:val="0"/>
          <w:sz w:val="32"/>
          <w:szCs w:val="32"/>
        </w:rPr>
        <w:t>财务状况表</w:t>
      </w:r>
      <w:bookmarkEnd w:id="238"/>
      <w:bookmarkEnd w:id="239"/>
      <w:bookmarkEnd w:id="240"/>
      <w:bookmarkEnd w:id="241"/>
    </w:p>
    <w:p w14:paraId="40C9DF7D">
      <w:pPr>
        <w:tabs>
          <w:tab w:val="left" w:pos="480"/>
        </w:tabs>
        <w:spacing w:line="360" w:lineRule="auto"/>
        <w:rPr>
          <w:rFonts w:ascii="仿宋" w:hAnsi="仿宋" w:eastAsia="仿宋" w:cs="仿宋"/>
          <w:sz w:val="24"/>
          <w:szCs w:val="24"/>
        </w:rPr>
      </w:pPr>
      <w:r>
        <w:rPr>
          <w:rFonts w:hint="eastAsia" w:ascii="仿宋" w:hAnsi="仿宋" w:eastAsia="仿宋" w:cs="仿宋"/>
          <w:b/>
          <w:bCs/>
          <w:sz w:val="24"/>
          <w:szCs w:val="24"/>
        </w:rPr>
        <w:t>注：提供经第三方审计机构审计的2023年度至今任意一年的财务状况审计报告或基本开户银行出具的资信证明（新成立无年审报告的无需提供，对该事项进行说明）。</w:t>
      </w:r>
    </w:p>
    <w:p w14:paraId="49194EDB">
      <w:pPr>
        <w:tabs>
          <w:tab w:val="left" w:pos="480"/>
        </w:tabs>
        <w:spacing w:line="360" w:lineRule="auto"/>
        <w:rPr>
          <w:rFonts w:ascii="仿宋" w:hAnsi="仿宋" w:eastAsia="仿宋" w:cs="仿宋"/>
          <w:sz w:val="24"/>
          <w:szCs w:val="24"/>
        </w:rPr>
      </w:pPr>
    </w:p>
    <w:p w14:paraId="08C1AB3F">
      <w:pPr>
        <w:tabs>
          <w:tab w:val="left" w:pos="480"/>
        </w:tabs>
        <w:spacing w:line="360" w:lineRule="auto"/>
        <w:rPr>
          <w:rFonts w:ascii="仿宋" w:hAnsi="仿宋" w:eastAsia="仿宋" w:cs="仿宋"/>
          <w:sz w:val="24"/>
          <w:szCs w:val="24"/>
        </w:rPr>
      </w:pPr>
    </w:p>
    <w:p w14:paraId="046F603A">
      <w:pPr>
        <w:tabs>
          <w:tab w:val="left" w:pos="480"/>
        </w:tabs>
        <w:spacing w:line="360" w:lineRule="auto"/>
        <w:rPr>
          <w:rFonts w:ascii="仿宋" w:hAnsi="仿宋" w:eastAsia="仿宋" w:cs="仿宋"/>
          <w:sz w:val="24"/>
          <w:szCs w:val="24"/>
        </w:rPr>
      </w:pPr>
    </w:p>
    <w:p w14:paraId="6E5AC76E">
      <w:pPr>
        <w:tabs>
          <w:tab w:val="left" w:pos="480"/>
        </w:tabs>
        <w:spacing w:line="360" w:lineRule="auto"/>
        <w:rPr>
          <w:rFonts w:ascii="仿宋" w:hAnsi="仿宋" w:eastAsia="仿宋" w:cs="仿宋"/>
          <w:sz w:val="24"/>
          <w:szCs w:val="24"/>
        </w:rPr>
      </w:pPr>
    </w:p>
    <w:p w14:paraId="4587891B">
      <w:pPr>
        <w:tabs>
          <w:tab w:val="left" w:pos="480"/>
        </w:tabs>
        <w:spacing w:line="360" w:lineRule="auto"/>
        <w:rPr>
          <w:rFonts w:ascii="仿宋" w:hAnsi="仿宋" w:eastAsia="仿宋" w:cs="仿宋"/>
          <w:sz w:val="24"/>
          <w:szCs w:val="24"/>
        </w:rPr>
      </w:pPr>
    </w:p>
    <w:p w14:paraId="0B703FC0">
      <w:pPr>
        <w:tabs>
          <w:tab w:val="left" w:pos="480"/>
        </w:tabs>
        <w:spacing w:line="360" w:lineRule="auto"/>
        <w:rPr>
          <w:rFonts w:ascii="仿宋" w:hAnsi="仿宋" w:eastAsia="仿宋" w:cs="仿宋"/>
          <w:sz w:val="24"/>
          <w:szCs w:val="24"/>
        </w:rPr>
      </w:pPr>
    </w:p>
    <w:p w14:paraId="79B85F37">
      <w:pPr>
        <w:tabs>
          <w:tab w:val="left" w:pos="480"/>
        </w:tabs>
        <w:spacing w:line="360" w:lineRule="auto"/>
        <w:rPr>
          <w:rFonts w:ascii="仿宋" w:hAnsi="仿宋" w:eastAsia="仿宋" w:cs="仿宋"/>
          <w:sz w:val="24"/>
          <w:szCs w:val="24"/>
        </w:rPr>
      </w:pPr>
    </w:p>
    <w:p w14:paraId="6F2AD87C">
      <w:pPr>
        <w:tabs>
          <w:tab w:val="left" w:pos="480"/>
        </w:tabs>
        <w:spacing w:line="360" w:lineRule="auto"/>
        <w:rPr>
          <w:rFonts w:ascii="仿宋" w:hAnsi="仿宋" w:eastAsia="仿宋" w:cs="仿宋"/>
          <w:sz w:val="24"/>
          <w:szCs w:val="24"/>
        </w:rPr>
      </w:pPr>
    </w:p>
    <w:p w14:paraId="437AD828">
      <w:pPr>
        <w:tabs>
          <w:tab w:val="left" w:pos="480"/>
        </w:tabs>
        <w:spacing w:line="360" w:lineRule="auto"/>
        <w:rPr>
          <w:rFonts w:ascii="仿宋" w:hAnsi="仿宋" w:eastAsia="仿宋" w:cs="仿宋"/>
          <w:sz w:val="24"/>
          <w:szCs w:val="24"/>
        </w:rPr>
      </w:pPr>
    </w:p>
    <w:p w14:paraId="323AF041">
      <w:pPr>
        <w:tabs>
          <w:tab w:val="left" w:pos="480"/>
        </w:tabs>
        <w:spacing w:line="360" w:lineRule="auto"/>
        <w:rPr>
          <w:rFonts w:ascii="仿宋" w:hAnsi="仿宋" w:eastAsia="仿宋" w:cs="仿宋"/>
          <w:sz w:val="24"/>
          <w:szCs w:val="24"/>
        </w:rPr>
      </w:pPr>
    </w:p>
    <w:p w14:paraId="12D077A7">
      <w:pPr>
        <w:tabs>
          <w:tab w:val="left" w:pos="480"/>
        </w:tabs>
        <w:spacing w:line="360" w:lineRule="auto"/>
        <w:rPr>
          <w:rFonts w:ascii="仿宋" w:hAnsi="仿宋" w:eastAsia="仿宋" w:cs="仿宋"/>
          <w:sz w:val="24"/>
          <w:szCs w:val="24"/>
        </w:rPr>
      </w:pPr>
    </w:p>
    <w:p w14:paraId="41C38CC0">
      <w:pPr>
        <w:pStyle w:val="3"/>
        <w:numPr>
          <w:ilvl w:val="1"/>
          <w:numId w:val="0"/>
        </w:numPr>
        <w:spacing w:line="360" w:lineRule="auto"/>
        <w:jc w:val="both"/>
        <w:rPr>
          <w:rFonts w:ascii="仿宋" w:hAnsi="仿宋" w:eastAsia="仿宋" w:cs="仿宋"/>
        </w:rPr>
      </w:pPr>
      <w:r>
        <w:rPr>
          <w:rFonts w:hint="eastAsia" w:ascii="仿宋" w:hAnsi="仿宋" w:eastAsia="仿宋" w:cs="仿宋"/>
        </w:rPr>
        <w:br w:type="page"/>
      </w:r>
      <w:bookmarkStart w:id="242" w:name="_Toc2584"/>
      <w:r>
        <w:rPr>
          <w:rFonts w:hint="eastAsia" w:ascii="仿宋" w:hAnsi="仿宋" w:eastAsia="仿宋" w:cs="仿宋"/>
          <w:szCs w:val="32"/>
        </w:rPr>
        <w:t>七、（1）项目负责人基本情况表</w:t>
      </w:r>
      <w:bookmarkEnd w:id="242"/>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091"/>
        <w:gridCol w:w="188"/>
        <w:gridCol w:w="909"/>
        <w:gridCol w:w="1455"/>
        <w:gridCol w:w="1181"/>
        <w:gridCol w:w="793"/>
        <w:gridCol w:w="1908"/>
      </w:tblGrid>
      <w:tr w14:paraId="77DB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ign w:val="center"/>
          </w:tcPr>
          <w:p w14:paraId="7F71B6E0">
            <w:pPr>
              <w:spacing w:line="360" w:lineRule="auto"/>
              <w:jc w:val="center"/>
              <w:rPr>
                <w:rFonts w:ascii="仿宋" w:hAnsi="仿宋" w:eastAsia="仿宋" w:cs="仿宋"/>
                <w:sz w:val="24"/>
              </w:rPr>
            </w:pPr>
            <w:r>
              <w:rPr>
                <w:rFonts w:hint="eastAsia" w:ascii="仿宋" w:hAnsi="仿宋" w:eastAsia="仿宋" w:cs="仿宋"/>
                <w:sz w:val="24"/>
              </w:rPr>
              <w:t>姓  名</w:t>
            </w:r>
          </w:p>
        </w:tc>
        <w:tc>
          <w:tcPr>
            <w:tcW w:w="1279" w:type="dxa"/>
            <w:gridSpan w:val="2"/>
            <w:noWrap/>
            <w:vAlign w:val="center"/>
          </w:tcPr>
          <w:p w14:paraId="15EE63D8">
            <w:pPr>
              <w:spacing w:line="360" w:lineRule="auto"/>
              <w:jc w:val="center"/>
              <w:rPr>
                <w:rFonts w:ascii="仿宋" w:hAnsi="仿宋" w:eastAsia="仿宋" w:cs="仿宋"/>
                <w:sz w:val="24"/>
              </w:rPr>
            </w:pPr>
          </w:p>
        </w:tc>
        <w:tc>
          <w:tcPr>
            <w:tcW w:w="909" w:type="dxa"/>
            <w:noWrap/>
            <w:vAlign w:val="center"/>
          </w:tcPr>
          <w:p w14:paraId="393EF38D">
            <w:pPr>
              <w:spacing w:line="360" w:lineRule="auto"/>
              <w:jc w:val="center"/>
              <w:rPr>
                <w:rFonts w:ascii="仿宋" w:hAnsi="仿宋" w:eastAsia="仿宋" w:cs="仿宋"/>
                <w:sz w:val="24"/>
              </w:rPr>
            </w:pPr>
            <w:r>
              <w:rPr>
                <w:rFonts w:hint="eastAsia" w:ascii="仿宋" w:hAnsi="仿宋" w:eastAsia="仿宋" w:cs="仿宋"/>
                <w:sz w:val="24"/>
              </w:rPr>
              <w:t>性别</w:t>
            </w:r>
          </w:p>
        </w:tc>
        <w:tc>
          <w:tcPr>
            <w:tcW w:w="1455" w:type="dxa"/>
            <w:noWrap/>
            <w:vAlign w:val="center"/>
          </w:tcPr>
          <w:p w14:paraId="582F7E3E">
            <w:pPr>
              <w:spacing w:line="360" w:lineRule="auto"/>
              <w:jc w:val="center"/>
              <w:rPr>
                <w:rFonts w:ascii="仿宋" w:hAnsi="仿宋" w:eastAsia="仿宋" w:cs="仿宋"/>
                <w:sz w:val="24"/>
              </w:rPr>
            </w:pPr>
          </w:p>
        </w:tc>
        <w:tc>
          <w:tcPr>
            <w:tcW w:w="1974" w:type="dxa"/>
            <w:gridSpan w:val="2"/>
            <w:noWrap/>
            <w:vAlign w:val="center"/>
          </w:tcPr>
          <w:p w14:paraId="757E3895">
            <w:pPr>
              <w:spacing w:line="360" w:lineRule="auto"/>
              <w:jc w:val="center"/>
              <w:rPr>
                <w:rFonts w:ascii="仿宋" w:hAnsi="仿宋" w:eastAsia="仿宋" w:cs="仿宋"/>
                <w:sz w:val="24"/>
              </w:rPr>
            </w:pPr>
            <w:r>
              <w:rPr>
                <w:rFonts w:hint="eastAsia" w:ascii="仿宋" w:hAnsi="仿宋" w:eastAsia="仿宋" w:cs="仿宋"/>
                <w:sz w:val="24"/>
              </w:rPr>
              <w:t>出生日期</w:t>
            </w:r>
          </w:p>
        </w:tc>
        <w:tc>
          <w:tcPr>
            <w:tcW w:w="1908" w:type="dxa"/>
            <w:noWrap/>
            <w:vAlign w:val="center"/>
          </w:tcPr>
          <w:p w14:paraId="2C62B8B6">
            <w:pPr>
              <w:spacing w:line="360" w:lineRule="auto"/>
              <w:jc w:val="center"/>
              <w:rPr>
                <w:rFonts w:ascii="仿宋" w:hAnsi="仿宋" w:eastAsia="仿宋" w:cs="仿宋"/>
                <w:sz w:val="24"/>
              </w:rPr>
            </w:pPr>
            <w:r>
              <w:rPr>
                <w:rFonts w:hint="eastAsia" w:ascii="仿宋" w:hAnsi="仿宋" w:eastAsia="仿宋" w:cs="仿宋"/>
                <w:sz w:val="24"/>
              </w:rPr>
              <w:t>年  月  日</w:t>
            </w:r>
          </w:p>
        </w:tc>
      </w:tr>
      <w:tr w14:paraId="7731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ign w:val="center"/>
          </w:tcPr>
          <w:p w14:paraId="1394546C">
            <w:pPr>
              <w:spacing w:line="360" w:lineRule="auto"/>
              <w:jc w:val="center"/>
              <w:rPr>
                <w:rFonts w:ascii="仿宋" w:hAnsi="仿宋" w:eastAsia="仿宋" w:cs="仿宋"/>
                <w:sz w:val="24"/>
              </w:rPr>
            </w:pPr>
            <w:r>
              <w:rPr>
                <w:rFonts w:hint="eastAsia" w:ascii="仿宋" w:hAnsi="仿宋" w:eastAsia="仿宋" w:cs="仿宋"/>
                <w:sz w:val="24"/>
              </w:rPr>
              <w:t>毕业院校及专业</w:t>
            </w:r>
          </w:p>
        </w:tc>
        <w:tc>
          <w:tcPr>
            <w:tcW w:w="3643" w:type="dxa"/>
            <w:gridSpan w:val="4"/>
            <w:noWrap/>
            <w:vAlign w:val="center"/>
          </w:tcPr>
          <w:p w14:paraId="041C2081">
            <w:pPr>
              <w:spacing w:line="360" w:lineRule="auto"/>
              <w:jc w:val="center"/>
              <w:rPr>
                <w:rFonts w:ascii="仿宋" w:hAnsi="仿宋" w:eastAsia="仿宋" w:cs="仿宋"/>
                <w:sz w:val="24"/>
              </w:rPr>
            </w:pPr>
          </w:p>
        </w:tc>
        <w:tc>
          <w:tcPr>
            <w:tcW w:w="1974" w:type="dxa"/>
            <w:gridSpan w:val="2"/>
            <w:noWrap/>
            <w:vAlign w:val="center"/>
          </w:tcPr>
          <w:p w14:paraId="67F7647E">
            <w:pPr>
              <w:spacing w:line="360" w:lineRule="auto"/>
              <w:jc w:val="center"/>
              <w:rPr>
                <w:rFonts w:ascii="仿宋" w:hAnsi="仿宋" w:eastAsia="仿宋" w:cs="仿宋"/>
                <w:sz w:val="24"/>
              </w:rPr>
            </w:pPr>
            <w:r>
              <w:rPr>
                <w:rFonts w:hint="eastAsia" w:ascii="仿宋" w:hAnsi="仿宋" w:eastAsia="仿宋" w:cs="仿宋"/>
                <w:sz w:val="24"/>
              </w:rPr>
              <w:t>毕业时间</w:t>
            </w:r>
          </w:p>
        </w:tc>
        <w:tc>
          <w:tcPr>
            <w:tcW w:w="1908" w:type="dxa"/>
            <w:noWrap/>
            <w:vAlign w:val="center"/>
          </w:tcPr>
          <w:p w14:paraId="50208905">
            <w:pPr>
              <w:spacing w:line="360" w:lineRule="auto"/>
              <w:jc w:val="center"/>
              <w:rPr>
                <w:rFonts w:ascii="仿宋" w:hAnsi="仿宋" w:eastAsia="仿宋" w:cs="仿宋"/>
                <w:sz w:val="24"/>
              </w:rPr>
            </w:pPr>
            <w:r>
              <w:rPr>
                <w:rFonts w:hint="eastAsia" w:ascii="仿宋" w:hAnsi="仿宋" w:eastAsia="仿宋" w:cs="仿宋"/>
                <w:sz w:val="24"/>
              </w:rPr>
              <w:t>年  月  日</w:t>
            </w:r>
          </w:p>
        </w:tc>
      </w:tr>
      <w:tr w14:paraId="637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ign w:val="center"/>
          </w:tcPr>
          <w:p w14:paraId="7B3EDA93">
            <w:pPr>
              <w:spacing w:line="360" w:lineRule="auto"/>
              <w:jc w:val="center"/>
              <w:rPr>
                <w:rFonts w:ascii="仿宋" w:hAnsi="仿宋" w:eastAsia="仿宋" w:cs="仿宋"/>
                <w:sz w:val="24"/>
              </w:rPr>
            </w:pPr>
            <w:r>
              <w:rPr>
                <w:rFonts w:hint="eastAsia" w:ascii="仿宋" w:hAnsi="仿宋" w:eastAsia="仿宋" w:cs="仿宋"/>
                <w:sz w:val="24"/>
              </w:rPr>
              <w:t>从事本专业时间</w:t>
            </w:r>
          </w:p>
        </w:tc>
        <w:tc>
          <w:tcPr>
            <w:tcW w:w="3643" w:type="dxa"/>
            <w:gridSpan w:val="4"/>
            <w:noWrap/>
            <w:vAlign w:val="center"/>
          </w:tcPr>
          <w:p w14:paraId="7F2F973E">
            <w:pPr>
              <w:spacing w:line="360" w:lineRule="auto"/>
              <w:jc w:val="center"/>
              <w:rPr>
                <w:rFonts w:ascii="仿宋" w:hAnsi="仿宋" w:eastAsia="仿宋" w:cs="仿宋"/>
                <w:sz w:val="24"/>
              </w:rPr>
            </w:pPr>
          </w:p>
        </w:tc>
        <w:tc>
          <w:tcPr>
            <w:tcW w:w="1974" w:type="dxa"/>
            <w:gridSpan w:val="2"/>
            <w:noWrap/>
            <w:vAlign w:val="center"/>
          </w:tcPr>
          <w:p w14:paraId="0CBE65D2">
            <w:pPr>
              <w:spacing w:line="360" w:lineRule="auto"/>
              <w:jc w:val="center"/>
              <w:rPr>
                <w:rFonts w:ascii="仿宋" w:hAnsi="仿宋" w:eastAsia="仿宋" w:cs="仿宋"/>
                <w:sz w:val="24"/>
              </w:rPr>
            </w:pPr>
            <w:r>
              <w:rPr>
                <w:rFonts w:hint="eastAsia" w:ascii="仿宋" w:hAnsi="仿宋" w:eastAsia="仿宋" w:cs="仿宋"/>
                <w:sz w:val="24"/>
              </w:rPr>
              <w:t>工作年限</w:t>
            </w:r>
          </w:p>
        </w:tc>
        <w:tc>
          <w:tcPr>
            <w:tcW w:w="1908" w:type="dxa"/>
            <w:noWrap/>
            <w:vAlign w:val="center"/>
          </w:tcPr>
          <w:p w14:paraId="06D21F74">
            <w:pPr>
              <w:spacing w:line="360" w:lineRule="auto"/>
              <w:jc w:val="center"/>
              <w:rPr>
                <w:rFonts w:ascii="仿宋" w:hAnsi="仿宋" w:eastAsia="仿宋" w:cs="仿宋"/>
                <w:sz w:val="24"/>
              </w:rPr>
            </w:pPr>
          </w:p>
        </w:tc>
      </w:tr>
      <w:tr w14:paraId="1F79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ign w:val="center"/>
          </w:tcPr>
          <w:p w14:paraId="179051B0">
            <w:pPr>
              <w:spacing w:line="360" w:lineRule="auto"/>
              <w:jc w:val="center"/>
              <w:rPr>
                <w:rFonts w:ascii="仿宋" w:hAnsi="仿宋" w:eastAsia="仿宋" w:cs="仿宋"/>
                <w:sz w:val="24"/>
              </w:rPr>
            </w:pPr>
            <w:r>
              <w:rPr>
                <w:rFonts w:hint="eastAsia" w:ascii="仿宋" w:hAnsi="仿宋" w:eastAsia="仿宋" w:cs="仿宋"/>
                <w:sz w:val="24"/>
              </w:rPr>
              <w:t>执业或职业资格</w:t>
            </w:r>
          </w:p>
        </w:tc>
        <w:tc>
          <w:tcPr>
            <w:tcW w:w="3643" w:type="dxa"/>
            <w:gridSpan w:val="4"/>
            <w:noWrap/>
            <w:vAlign w:val="center"/>
          </w:tcPr>
          <w:p w14:paraId="1AE05FB8">
            <w:pPr>
              <w:spacing w:line="360" w:lineRule="auto"/>
              <w:jc w:val="center"/>
              <w:rPr>
                <w:rFonts w:ascii="仿宋" w:hAnsi="仿宋" w:eastAsia="仿宋" w:cs="仿宋"/>
                <w:sz w:val="24"/>
              </w:rPr>
            </w:pPr>
          </w:p>
        </w:tc>
        <w:tc>
          <w:tcPr>
            <w:tcW w:w="1974" w:type="dxa"/>
            <w:gridSpan w:val="2"/>
            <w:noWrap/>
            <w:vAlign w:val="center"/>
          </w:tcPr>
          <w:p w14:paraId="20088DB1">
            <w:pPr>
              <w:spacing w:line="360" w:lineRule="auto"/>
              <w:jc w:val="center"/>
              <w:rPr>
                <w:rFonts w:ascii="仿宋" w:hAnsi="仿宋" w:eastAsia="仿宋" w:cs="仿宋"/>
                <w:sz w:val="24"/>
              </w:rPr>
            </w:pPr>
            <w:r>
              <w:rPr>
                <w:rFonts w:hint="eastAsia" w:ascii="仿宋" w:hAnsi="仿宋" w:eastAsia="仿宋" w:cs="仿宋"/>
                <w:sz w:val="24"/>
              </w:rPr>
              <w:t>职称</w:t>
            </w:r>
          </w:p>
        </w:tc>
        <w:tc>
          <w:tcPr>
            <w:tcW w:w="1908" w:type="dxa"/>
            <w:noWrap/>
            <w:vAlign w:val="center"/>
          </w:tcPr>
          <w:p w14:paraId="7E285FD8">
            <w:pPr>
              <w:spacing w:line="360" w:lineRule="auto"/>
              <w:jc w:val="center"/>
              <w:rPr>
                <w:rFonts w:ascii="仿宋" w:hAnsi="仿宋" w:eastAsia="仿宋" w:cs="仿宋"/>
                <w:sz w:val="24"/>
              </w:rPr>
            </w:pPr>
          </w:p>
        </w:tc>
      </w:tr>
      <w:tr w14:paraId="784D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ign w:val="center"/>
          </w:tcPr>
          <w:p w14:paraId="59CDDCA0">
            <w:pPr>
              <w:spacing w:line="360" w:lineRule="auto"/>
              <w:jc w:val="center"/>
              <w:rPr>
                <w:rFonts w:ascii="仿宋" w:hAnsi="仿宋" w:eastAsia="仿宋" w:cs="仿宋"/>
                <w:sz w:val="24"/>
              </w:rPr>
            </w:pPr>
            <w:r>
              <w:rPr>
                <w:rFonts w:hint="eastAsia" w:ascii="仿宋" w:hAnsi="仿宋" w:eastAsia="仿宋" w:cs="仿宋"/>
                <w:sz w:val="24"/>
              </w:rPr>
              <w:t>在本项目中担任任务</w:t>
            </w:r>
          </w:p>
        </w:tc>
        <w:tc>
          <w:tcPr>
            <w:tcW w:w="7525" w:type="dxa"/>
            <w:gridSpan w:val="7"/>
            <w:noWrap/>
            <w:vAlign w:val="center"/>
          </w:tcPr>
          <w:p w14:paraId="10BBE82C">
            <w:pPr>
              <w:spacing w:line="360" w:lineRule="auto"/>
              <w:jc w:val="center"/>
              <w:rPr>
                <w:rFonts w:ascii="仿宋" w:hAnsi="仿宋" w:eastAsia="仿宋" w:cs="仿宋"/>
                <w:sz w:val="24"/>
              </w:rPr>
            </w:pPr>
            <w:r>
              <w:rPr>
                <w:rFonts w:hint="eastAsia" w:ascii="仿宋" w:hAnsi="仿宋" w:eastAsia="仿宋" w:cs="仿宋"/>
                <w:sz w:val="24"/>
              </w:rPr>
              <w:t>项目负责人</w:t>
            </w:r>
          </w:p>
        </w:tc>
      </w:tr>
      <w:tr w14:paraId="680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0" w:type="dxa"/>
            <w:vMerge w:val="restart"/>
            <w:noWrap/>
            <w:vAlign w:val="center"/>
          </w:tcPr>
          <w:p w14:paraId="4209FF18">
            <w:pPr>
              <w:spacing w:line="360" w:lineRule="auto"/>
              <w:jc w:val="center"/>
              <w:rPr>
                <w:rFonts w:ascii="仿宋" w:hAnsi="仿宋" w:eastAsia="仿宋" w:cs="仿宋"/>
                <w:sz w:val="24"/>
              </w:rPr>
            </w:pPr>
            <w:r>
              <w:rPr>
                <w:rFonts w:hint="eastAsia" w:ascii="仿宋" w:hAnsi="仿宋" w:eastAsia="仿宋" w:cs="仿宋"/>
                <w:sz w:val="24"/>
              </w:rPr>
              <w:t>本</w:t>
            </w:r>
          </w:p>
          <w:p w14:paraId="5EE44BB9">
            <w:pPr>
              <w:spacing w:line="360" w:lineRule="auto"/>
              <w:jc w:val="center"/>
              <w:rPr>
                <w:rFonts w:ascii="仿宋" w:hAnsi="仿宋" w:eastAsia="仿宋" w:cs="仿宋"/>
                <w:sz w:val="24"/>
              </w:rPr>
            </w:pPr>
            <w:r>
              <w:rPr>
                <w:rFonts w:hint="eastAsia" w:ascii="仿宋" w:hAnsi="仿宋" w:eastAsia="仿宋" w:cs="仿宋"/>
                <w:sz w:val="24"/>
              </w:rPr>
              <w:t>人</w:t>
            </w:r>
          </w:p>
          <w:p w14:paraId="7590DDBE">
            <w:pPr>
              <w:spacing w:line="360" w:lineRule="auto"/>
              <w:jc w:val="center"/>
              <w:rPr>
                <w:rFonts w:ascii="仿宋" w:hAnsi="仿宋" w:eastAsia="仿宋" w:cs="仿宋"/>
                <w:sz w:val="24"/>
              </w:rPr>
            </w:pPr>
            <w:r>
              <w:rPr>
                <w:rFonts w:hint="eastAsia" w:ascii="仿宋" w:hAnsi="仿宋" w:eastAsia="仿宋" w:cs="仿宋"/>
                <w:sz w:val="24"/>
              </w:rPr>
              <w:t>简</w:t>
            </w:r>
          </w:p>
          <w:p w14:paraId="211A495C">
            <w:pPr>
              <w:spacing w:line="360" w:lineRule="auto"/>
              <w:jc w:val="center"/>
              <w:rPr>
                <w:rFonts w:ascii="仿宋" w:hAnsi="仿宋" w:eastAsia="仿宋" w:cs="仿宋"/>
                <w:sz w:val="24"/>
              </w:rPr>
            </w:pPr>
            <w:r>
              <w:rPr>
                <w:rFonts w:hint="eastAsia" w:ascii="仿宋" w:hAnsi="仿宋" w:eastAsia="仿宋" w:cs="仿宋"/>
                <w:sz w:val="24"/>
              </w:rPr>
              <w:t>历</w:t>
            </w:r>
          </w:p>
        </w:tc>
        <w:tc>
          <w:tcPr>
            <w:tcW w:w="1091" w:type="dxa"/>
            <w:noWrap/>
            <w:vAlign w:val="center"/>
          </w:tcPr>
          <w:p w14:paraId="08C0A6F1">
            <w:pPr>
              <w:spacing w:line="360" w:lineRule="auto"/>
              <w:jc w:val="center"/>
              <w:rPr>
                <w:rFonts w:ascii="仿宋" w:hAnsi="仿宋" w:eastAsia="仿宋" w:cs="仿宋"/>
                <w:sz w:val="24"/>
              </w:rPr>
            </w:pPr>
            <w:r>
              <w:rPr>
                <w:rFonts w:hint="eastAsia" w:ascii="仿宋" w:hAnsi="仿宋" w:eastAsia="仿宋" w:cs="仿宋"/>
                <w:sz w:val="24"/>
              </w:rPr>
              <w:t>1</w:t>
            </w:r>
          </w:p>
        </w:tc>
        <w:tc>
          <w:tcPr>
            <w:tcW w:w="2552" w:type="dxa"/>
            <w:gridSpan w:val="3"/>
            <w:noWrap/>
            <w:vAlign w:val="center"/>
          </w:tcPr>
          <w:p w14:paraId="559CA660">
            <w:pPr>
              <w:spacing w:line="360" w:lineRule="auto"/>
              <w:jc w:val="center"/>
              <w:rPr>
                <w:rFonts w:ascii="仿宋" w:hAnsi="仿宋" w:eastAsia="仿宋" w:cs="仿宋"/>
                <w:sz w:val="24"/>
              </w:rPr>
            </w:pPr>
            <w:r>
              <w:rPr>
                <w:rFonts w:hint="eastAsia" w:ascii="仿宋" w:hAnsi="仿宋" w:eastAsia="仿宋" w:cs="仿宋"/>
                <w:sz w:val="24"/>
              </w:rPr>
              <w:t>工程项目名称及规模</w:t>
            </w:r>
          </w:p>
        </w:tc>
        <w:tc>
          <w:tcPr>
            <w:tcW w:w="1181" w:type="dxa"/>
            <w:noWrap/>
            <w:vAlign w:val="center"/>
          </w:tcPr>
          <w:p w14:paraId="76929BD2">
            <w:pPr>
              <w:spacing w:line="360" w:lineRule="auto"/>
              <w:jc w:val="center"/>
              <w:rPr>
                <w:rFonts w:ascii="仿宋" w:hAnsi="仿宋" w:eastAsia="仿宋" w:cs="仿宋"/>
                <w:sz w:val="24"/>
              </w:rPr>
            </w:pPr>
            <w:r>
              <w:rPr>
                <w:rFonts w:hint="eastAsia" w:ascii="仿宋" w:hAnsi="仿宋" w:eastAsia="仿宋" w:cs="仿宋"/>
                <w:sz w:val="24"/>
              </w:rPr>
              <w:t>完成年月</w:t>
            </w:r>
          </w:p>
        </w:tc>
        <w:tc>
          <w:tcPr>
            <w:tcW w:w="2701" w:type="dxa"/>
            <w:gridSpan w:val="2"/>
            <w:noWrap/>
            <w:vAlign w:val="center"/>
          </w:tcPr>
          <w:p w14:paraId="65A86807">
            <w:pPr>
              <w:spacing w:line="360" w:lineRule="auto"/>
              <w:jc w:val="center"/>
              <w:rPr>
                <w:rFonts w:ascii="仿宋" w:hAnsi="仿宋" w:eastAsia="仿宋" w:cs="仿宋"/>
                <w:sz w:val="24"/>
              </w:rPr>
            </w:pPr>
            <w:r>
              <w:rPr>
                <w:rFonts w:hint="eastAsia" w:ascii="仿宋" w:hAnsi="仿宋" w:eastAsia="仿宋" w:cs="仿宋"/>
                <w:sz w:val="24"/>
              </w:rPr>
              <w:t>在该项目中任何职</w:t>
            </w:r>
          </w:p>
        </w:tc>
      </w:tr>
      <w:tr w14:paraId="39C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57CB4497">
            <w:pPr>
              <w:spacing w:line="360" w:lineRule="auto"/>
              <w:jc w:val="center"/>
              <w:rPr>
                <w:rFonts w:ascii="仿宋" w:hAnsi="仿宋" w:eastAsia="仿宋" w:cs="仿宋"/>
                <w:sz w:val="24"/>
              </w:rPr>
            </w:pPr>
          </w:p>
        </w:tc>
        <w:tc>
          <w:tcPr>
            <w:tcW w:w="1091" w:type="dxa"/>
            <w:noWrap/>
            <w:vAlign w:val="center"/>
          </w:tcPr>
          <w:p w14:paraId="0A828A86">
            <w:pPr>
              <w:spacing w:line="360" w:lineRule="auto"/>
              <w:jc w:val="center"/>
              <w:rPr>
                <w:rFonts w:ascii="仿宋" w:hAnsi="仿宋" w:eastAsia="仿宋" w:cs="仿宋"/>
                <w:sz w:val="24"/>
              </w:rPr>
            </w:pPr>
            <w:r>
              <w:rPr>
                <w:rFonts w:hint="eastAsia" w:ascii="仿宋" w:hAnsi="仿宋" w:eastAsia="仿宋" w:cs="仿宋"/>
                <w:sz w:val="24"/>
              </w:rPr>
              <w:t>2</w:t>
            </w:r>
          </w:p>
        </w:tc>
        <w:tc>
          <w:tcPr>
            <w:tcW w:w="2552" w:type="dxa"/>
            <w:gridSpan w:val="3"/>
            <w:noWrap/>
            <w:vAlign w:val="center"/>
          </w:tcPr>
          <w:p w14:paraId="71208B3F">
            <w:pPr>
              <w:spacing w:line="360" w:lineRule="auto"/>
              <w:jc w:val="center"/>
              <w:rPr>
                <w:rFonts w:ascii="仿宋" w:hAnsi="仿宋" w:eastAsia="仿宋" w:cs="仿宋"/>
                <w:sz w:val="24"/>
              </w:rPr>
            </w:pPr>
          </w:p>
        </w:tc>
        <w:tc>
          <w:tcPr>
            <w:tcW w:w="1181" w:type="dxa"/>
            <w:noWrap/>
            <w:vAlign w:val="center"/>
          </w:tcPr>
          <w:p w14:paraId="2EBC690A">
            <w:pPr>
              <w:spacing w:line="360" w:lineRule="auto"/>
              <w:jc w:val="center"/>
              <w:rPr>
                <w:rFonts w:ascii="仿宋" w:hAnsi="仿宋" w:eastAsia="仿宋" w:cs="仿宋"/>
                <w:sz w:val="24"/>
              </w:rPr>
            </w:pPr>
          </w:p>
        </w:tc>
        <w:tc>
          <w:tcPr>
            <w:tcW w:w="2701" w:type="dxa"/>
            <w:gridSpan w:val="2"/>
            <w:noWrap/>
            <w:vAlign w:val="center"/>
          </w:tcPr>
          <w:p w14:paraId="2301D581">
            <w:pPr>
              <w:spacing w:line="360" w:lineRule="auto"/>
              <w:jc w:val="center"/>
              <w:rPr>
                <w:rFonts w:ascii="仿宋" w:hAnsi="仿宋" w:eastAsia="仿宋" w:cs="仿宋"/>
                <w:sz w:val="24"/>
              </w:rPr>
            </w:pPr>
          </w:p>
        </w:tc>
      </w:tr>
      <w:tr w14:paraId="7A73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5F7BD080">
            <w:pPr>
              <w:spacing w:line="360" w:lineRule="auto"/>
              <w:jc w:val="center"/>
              <w:rPr>
                <w:rFonts w:ascii="仿宋" w:hAnsi="仿宋" w:eastAsia="仿宋" w:cs="仿宋"/>
                <w:sz w:val="24"/>
              </w:rPr>
            </w:pPr>
          </w:p>
        </w:tc>
        <w:tc>
          <w:tcPr>
            <w:tcW w:w="1091" w:type="dxa"/>
            <w:noWrap/>
            <w:vAlign w:val="center"/>
          </w:tcPr>
          <w:p w14:paraId="27996BD6">
            <w:pPr>
              <w:spacing w:line="360" w:lineRule="auto"/>
              <w:jc w:val="center"/>
              <w:rPr>
                <w:rFonts w:ascii="仿宋" w:hAnsi="仿宋" w:eastAsia="仿宋" w:cs="仿宋"/>
                <w:sz w:val="24"/>
              </w:rPr>
            </w:pPr>
            <w:r>
              <w:rPr>
                <w:rFonts w:hint="eastAsia" w:ascii="仿宋" w:hAnsi="仿宋" w:eastAsia="仿宋" w:cs="仿宋"/>
                <w:sz w:val="24"/>
              </w:rPr>
              <w:t>3</w:t>
            </w:r>
          </w:p>
        </w:tc>
        <w:tc>
          <w:tcPr>
            <w:tcW w:w="2552" w:type="dxa"/>
            <w:gridSpan w:val="3"/>
            <w:noWrap/>
            <w:vAlign w:val="center"/>
          </w:tcPr>
          <w:p w14:paraId="5F1D5C07">
            <w:pPr>
              <w:spacing w:line="360" w:lineRule="auto"/>
              <w:jc w:val="center"/>
              <w:rPr>
                <w:rFonts w:ascii="仿宋" w:hAnsi="仿宋" w:eastAsia="仿宋" w:cs="仿宋"/>
                <w:sz w:val="24"/>
              </w:rPr>
            </w:pPr>
          </w:p>
        </w:tc>
        <w:tc>
          <w:tcPr>
            <w:tcW w:w="1181" w:type="dxa"/>
            <w:noWrap/>
            <w:vAlign w:val="center"/>
          </w:tcPr>
          <w:p w14:paraId="58AC8C83">
            <w:pPr>
              <w:spacing w:line="360" w:lineRule="auto"/>
              <w:jc w:val="center"/>
              <w:rPr>
                <w:rFonts w:ascii="仿宋" w:hAnsi="仿宋" w:eastAsia="仿宋" w:cs="仿宋"/>
                <w:sz w:val="24"/>
              </w:rPr>
            </w:pPr>
          </w:p>
        </w:tc>
        <w:tc>
          <w:tcPr>
            <w:tcW w:w="2701" w:type="dxa"/>
            <w:gridSpan w:val="2"/>
            <w:noWrap/>
            <w:vAlign w:val="center"/>
          </w:tcPr>
          <w:p w14:paraId="3A892832">
            <w:pPr>
              <w:spacing w:line="360" w:lineRule="auto"/>
              <w:jc w:val="center"/>
              <w:rPr>
                <w:rFonts w:ascii="仿宋" w:hAnsi="仿宋" w:eastAsia="仿宋" w:cs="仿宋"/>
                <w:sz w:val="24"/>
              </w:rPr>
            </w:pPr>
          </w:p>
        </w:tc>
      </w:tr>
      <w:tr w14:paraId="1FEE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354CE327">
            <w:pPr>
              <w:spacing w:line="360" w:lineRule="auto"/>
              <w:jc w:val="center"/>
              <w:rPr>
                <w:rFonts w:ascii="仿宋" w:hAnsi="仿宋" w:eastAsia="仿宋" w:cs="仿宋"/>
                <w:sz w:val="24"/>
              </w:rPr>
            </w:pPr>
          </w:p>
        </w:tc>
        <w:tc>
          <w:tcPr>
            <w:tcW w:w="1091" w:type="dxa"/>
            <w:noWrap/>
            <w:vAlign w:val="center"/>
          </w:tcPr>
          <w:p w14:paraId="27B9B1E9">
            <w:pPr>
              <w:spacing w:line="360" w:lineRule="auto"/>
              <w:jc w:val="center"/>
              <w:rPr>
                <w:rFonts w:ascii="仿宋" w:hAnsi="仿宋" w:eastAsia="仿宋" w:cs="仿宋"/>
                <w:sz w:val="24"/>
              </w:rPr>
            </w:pPr>
            <w:r>
              <w:rPr>
                <w:rFonts w:hint="eastAsia" w:ascii="仿宋" w:hAnsi="仿宋" w:eastAsia="仿宋" w:cs="仿宋"/>
                <w:sz w:val="24"/>
              </w:rPr>
              <w:t>4</w:t>
            </w:r>
          </w:p>
        </w:tc>
        <w:tc>
          <w:tcPr>
            <w:tcW w:w="2552" w:type="dxa"/>
            <w:gridSpan w:val="3"/>
            <w:noWrap/>
            <w:vAlign w:val="center"/>
          </w:tcPr>
          <w:p w14:paraId="1789000C">
            <w:pPr>
              <w:spacing w:line="360" w:lineRule="auto"/>
              <w:jc w:val="center"/>
              <w:rPr>
                <w:rFonts w:ascii="仿宋" w:hAnsi="仿宋" w:eastAsia="仿宋" w:cs="仿宋"/>
                <w:sz w:val="24"/>
              </w:rPr>
            </w:pPr>
          </w:p>
        </w:tc>
        <w:tc>
          <w:tcPr>
            <w:tcW w:w="1181" w:type="dxa"/>
            <w:noWrap/>
            <w:vAlign w:val="center"/>
          </w:tcPr>
          <w:p w14:paraId="4B564455">
            <w:pPr>
              <w:spacing w:line="360" w:lineRule="auto"/>
              <w:jc w:val="center"/>
              <w:rPr>
                <w:rFonts w:ascii="仿宋" w:hAnsi="仿宋" w:eastAsia="仿宋" w:cs="仿宋"/>
                <w:sz w:val="24"/>
              </w:rPr>
            </w:pPr>
          </w:p>
        </w:tc>
        <w:tc>
          <w:tcPr>
            <w:tcW w:w="2701" w:type="dxa"/>
            <w:gridSpan w:val="2"/>
            <w:noWrap/>
            <w:vAlign w:val="center"/>
          </w:tcPr>
          <w:p w14:paraId="06A08CCD">
            <w:pPr>
              <w:spacing w:line="360" w:lineRule="auto"/>
              <w:jc w:val="center"/>
              <w:rPr>
                <w:rFonts w:ascii="仿宋" w:hAnsi="仿宋" w:eastAsia="仿宋" w:cs="仿宋"/>
                <w:sz w:val="24"/>
              </w:rPr>
            </w:pPr>
          </w:p>
        </w:tc>
      </w:tr>
      <w:tr w14:paraId="60F1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5BFE4B36">
            <w:pPr>
              <w:spacing w:line="360" w:lineRule="auto"/>
              <w:jc w:val="center"/>
              <w:rPr>
                <w:rFonts w:ascii="仿宋" w:hAnsi="仿宋" w:eastAsia="仿宋" w:cs="仿宋"/>
                <w:sz w:val="24"/>
              </w:rPr>
            </w:pPr>
          </w:p>
        </w:tc>
        <w:tc>
          <w:tcPr>
            <w:tcW w:w="1091" w:type="dxa"/>
            <w:noWrap/>
            <w:vAlign w:val="center"/>
          </w:tcPr>
          <w:p w14:paraId="07A7C581">
            <w:pPr>
              <w:spacing w:line="360" w:lineRule="auto"/>
              <w:jc w:val="center"/>
              <w:rPr>
                <w:rFonts w:ascii="仿宋" w:hAnsi="仿宋" w:eastAsia="仿宋" w:cs="仿宋"/>
                <w:sz w:val="24"/>
              </w:rPr>
            </w:pPr>
            <w:r>
              <w:rPr>
                <w:rFonts w:hint="eastAsia" w:ascii="仿宋" w:hAnsi="仿宋" w:eastAsia="仿宋" w:cs="仿宋"/>
                <w:sz w:val="24"/>
              </w:rPr>
              <w:t>5</w:t>
            </w:r>
          </w:p>
        </w:tc>
        <w:tc>
          <w:tcPr>
            <w:tcW w:w="2552" w:type="dxa"/>
            <w:gridSpan w:val="3"/>
            <w:noWrap/>
            <w:vAlign w:val="center"/>
          </w:tcPr>
          <w:p w14:paraId="0C06FEC1">
            <w:pPr>
              <w:spacing w:line="360" w:lineRule="auto"/>
              <w:jc w:val="center"/>
              <w:rPr>
                <w:rFonts w:ascii="仿宋" w:hAnsi="仿宋" w:eastAsia="仿宋" w:cs="仿宋"/>
                <w:sz w:val="24"/>
              </w:rPr>
            </w:pPr>
          </w:p>
        </w:tc>
        <w:tc>
          <w:tcPr>
            <w:tcW w:w="1181" w:type="dxa"/>
            <w:noWrap/>
            <w:vAlign w:val="center"/>
          </w:tcPr>
          <w:p w14:paraId="51342558">
            <w:pPr>
              <w:spacing w:line="360" w:lineRule="auto"/>
              <w:jc w:val="center"/>
              <w:rPr>
                <w:rFonts w:ascii="仿宋" w:hAnsi="仿宋" w:eastAsia="仿宋" w:cs="仿宋"/>
                <w:sz w:val="24"/>
              </w:rPr>
            </w:pPr>
          </w:p>
        </w:tc>
        <w:tc>
          <w:tcPr>
            <w:tcW w:w="2701" w:type="dxa"/>
            <w:gridSpan w:val="2"/>
            <w:noWrap/>
            <w:vAlign w:val="center"/>
          </w:tcPr>
          <w:p w14:paraId="49E26E52">
            <w:pPr>
              <w:spacing w:line="360" w:lineRule="auto"/>
              <w:jc w:val="center"/>
              <w:rPr>
                <w:rFonts w:ascii="仿宋" w:hAnsi="仿宋" w:eastAsia="仿宋" w:cs="仿宋"/>
                <w:sz w:val="24"/>
              </w:rPr>
            </w:pPr>
          </w:p>
        </w:tc>
      </w:tr>
      <w:tr w14:paraId="25DC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6FF11E25">
            <w:pPr>
              <w:spacing w:line="360" w:lineRule="auto"/>
              <w:jc w:val="center"/>
              <w:rPr>
                <w:rFonts w:ascii="仿宋" w:hAnsi="仿宋" w:eastAsia="仿宋" w:cs="仿宋"/>
                <w:sz w:val="24"/>
              </w:rPr>
            </w:pPr>
          </w:p>
        </w:tc>
        <w:tc>
          <w:tcPr>
            <w:tcW w:w="1091" w:type="dxa"/>
            <w:noWrap/>
            <w:vAlign w:val="center"/>
          </w:tcPr>
          <w:p w14:paraId="730C19CB">
            <w:pPr>
              <w:spacing w:line="360" w:lineRule="auto"/>
              <w:jc w:val="center"/>
              <w:rPr>
                <w:rFonts w:ascii="仿宋" w:hAnsi="仿宋" w:eastAsia="仿宋" w:cs="仿宋"/>
                <w:sz w:val="24"/>
              </w:rPr>
            </w:pPr>
            <w:r>
              <w:rPr>
                <w:rFonts w:hint="eastAsia" w:ascii="仿宋" w:hAnsi="仿宋" w:eastAsia="仿宋" w:cs="仿宋"/>
                <w:sz w:val="24"/>
              </w:rPr>
              <w:t>6</w:t>
            </w:r>
          </w:p>
        </w:tc>
        <w:tc>
          <w:tcPr>
            <w:tcW w:w="2552" w:type="dxa"/>
            <w:gridSpan w:val="3"/>
            <w:noWrap/>
            <w:vAlign w:val="center"/>
          </w:tcPr>
          <w:p w14:paraId="19CF7E49">
            <w:pPr>
              <w:spacing w:line="360" w:lineRule="auto"/>
              <w:jc w:val="center"/>
              <w:rPr>
                <w:rFonts w:ascii="仿宋" w:hAnsi="仿宋" w:eastAsia="仿宋" w:cs="仿宋"/>
                <w:sz w:val="24"/>
              </w:rPr>
            </w:pPr>
          </w:p>
        </w:tc>
        <w:tc>
          <w:tcPr>
            <w:tcW w:w="1181" w:type="dxa"/>
            <w:noWrap/>
            <w:vAlign w:val="center"/>
          </w:tcPr>
          <w:p w14:paraId="6E862DD9">
            <w:pPr>
              <w:spacing w:line="360" w:lineRule="auto"/>
              <w:jc w:val="center"/>
              <w:rPr>
                <w:rFonts w:ascii="仿宋" w:hAnsi="仿宋" w:eastAsia="仿宋" w:cs="仿宋"/>
                <w:sz w:val="24"/>
              </w:rPr>
            </w:pPr>
          </w:p>
        </w:tc>
        <w:tc>
          <w:tcPr>
            <w:tcW w:w="2701" w:type="dxa"/>
            <w:gridSpan w:val="2"/>
            <w:noWrap/>
            <w:vAlign w:val="center"/>
          </w:tcPr>
          <w:p w14:paraId="04A359C2">
            <w:pPr>
              <w:spacing w:line="360" w:lineRule="auto"/>
              <w:jc w:val="center"/>
              <w:rPr>
                <w:rFonts w:ascii="仿宋" w:hAnsi="仿宋" w:eastAsia="仿宋" w:cs="仿宋"/>
                <w:sz w:val="24"/>
              </w:rPr>
            </w:pPr>
          </w:p>
        </w:tc>
      </w:tr>
      <w:tr w14:paraId="27C0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406F66CB">
            <w:pPr>
              <w:spacing w:line="360" w:lineRule="auto"/>
              <w:jc w:val="center"/>
              <w:rPr>
                <w:rFonts w:ascii="仿宋" w:hAnsi="仿宋" w:eastAsia="仿宋" w:cs="仿宋"/>
                <w:sz w:val="24"/>
              </w:rPr>
            </w:pPr>
          </w:p>
        </w:tc>
        <w:tc>
          <w:tcPr>
            <w:tcW w:w="1091" w:type="dxa"/>
            <w:noWrap/>
            <w:vAlign w:val="center"/>
          </w:tcPr>
          <w:p w14:paraId="204BC969">
            <w:pPr>
              <w:spacing w:line="360" w:lineRule="auto"/>
              <w:jc w:val="center"/>
              <w:rPr>
                <w:rFonts w:ascii="仿宋" w:hAnsi="仿宋" w:eastAsia="仿宋" w:cs="仿宋"/>
                <w:sz w:val="24"/>
              </w:rPr>
            </w:pPr>
            <w:r>
              <w:rPr>
                <w:rFonts w:hint="eastAsia" w:ascii="仿宋" w:hAnsi="仿宋" w:eastAsia="仿宋" w:cs="仿宋"/>
                <w:sz w:val="24"/>
              </w:rPr>
              <w:t>7</w:t>
            </w:r>
          </w:p>
        </w:tc>
        <w:tc>
          <w:tcPr>
            <w:tcW w:w="2552" w:type="dxa"/>
            <w:gridSpan w:val="3"/>
            <w:noWrap/>
            <w:vAlign w:val="center"/>
          </w:tcPr>
          <w:p w14:paraId="4FA62DCA">
            <w:pPr>
              <w:spacing w:line="360" w:lineRule="auto"/>
              <w:jc w:val="center"/>
              <w:rPr>
                <w:rFonts w:ascii="仿宋" w:hAnsi="仿宋" w:eastAsia="仿宋" w:cs="仿宋"/>
                <w:sz w:val="24"/>
              </w:rPr>
            </w:pPr>
          </w:p>
        </w:tc>
        <w:tc>
          <w:tcPr>
            <w:tcW w:w="1181" w:type="dxa"/>
            <w:noWrap/>
            <w:vAlign w:val="center"/>
          </w:tcPr>
          <w:p w14:paraId="24A78472">
            <w:pPr>
              <w:spacing w:line="360" w:lineRule="auto"/>
              <w:jc w:val="center"/>
              <w:rPr>
                <w:rFonts w:ascii="仿宋" w:hAnsi="仿宋" w:eastAsia="仿宋" w:cs="仿宋"/>
                <w:sz w:val="24"/>
              </w:rPr>
            </w:pPr>
          </w:p>
        </w:tc>
        <w:tc>
          <w:tcPr>
            <w:tcW w:w="2701" w:type="dxa"/>
            <w:gridSpan w:val="2"/>
            <w:noWrap/>
            <w:vAlign w:val="center"/>
          </w:tcPr>
          <w:p w14:paraId="62654A9B">
            <w:pPr>
              <w:spacing w:line="360" w:lineRule="auto"/>
              <w:jc w:val="center"/>
              <w:rPr>
                <w:rFonts w:ascii="仿宋" w:hAnsi="仿宋" w:eastAsia="仿宋" w:cs="仿宋"/>
                <w:sz w:val="24"/>
              </w:rPr>
            </w:pPr>
          </w:p>
        </w:tc>
      </w:tr>
      <w:tr w14:paraId="05A2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ign w:val="center"/>
          </w:tcPr>
          <w:p w14:paraId="06510EC8">
            <w:pPr>
              <w:spacing w:line="360" w:lineRule="auto"/>
              <w:jc w:val="center"/>
              <w:rPr>
                <w:rFonts w:ascii="仿宋" w:hAnsi="仿宋" w:eastAsia="仿宋" w:cs="仿宋"/>
                <w:sz w:val="24"/>
              </w:rPr>
            </w:pPr>
          </w:p>
        </w:tc>
        <w:tc>
          <w:tcPr>
            <w:tcW w:w="1091" w:type="dxa"/>
            <w:noWrap/>
            <w:vAlign w:val="center"/>
          </w:tcPr>
          <w:p w14:paraId="6CD53DC8">
            <w:pPr>
              <w:spacing w:line="360" w:lineRule="auto"/>
              <w:jc w:val="center"/>
              <w:rPr>
                <w:rFonts w:ascii="仿宋" w:hAnsi="仿宋" w:eastAsia="仿宋" w:cs="仿宋"/>
                <w:sz w:val="24"/>
              </w:rPr>
            </w:pPr>
            <w:r>
              <w:rPr>
                <w:rFonts w:hint="eastAsia" w:ascii="仿宋" w:hAnsi="仿宋" w:eastAsia="仿宋" w:cs="仿宋"/>
                <w:sz w:val="24"/>
              </w:rPr>
              <w:t>8</w:t>
            </w:r>
          </w:p>
        </w:tc>
        <w:tc>
          <w:tcPr>
            <w:tcW w:w="2552" w:type="dxa"/>
            <w:gridSpan w:val="3"/>
            <w:noWrap/>
            <w:vAlign w:val="center"/>
          </w:tcPr>
          <w:p w14:paraId="1522D465">
            <w:pPr>
              <w:spacing w:line="360" w:lineRule="auto"/>
              <w:jc w:val="center"/>
              <w:rPr>
                <w:rFonts w:ascii="仿宋" w:hAnsi="仿宋" w:eastAsia="仿宋" w:cs="仿宋"/>
                <w:sz w:val="24"/>
              </w:rPr>
            </w:pPr>
          </w:p>
        </w:tc>
        <w:tc>
          <w:tcPr>
            <w:tcW w:w="1181" w:type="dxa"/>
            <w:noWrap/>
            <w:vAlign w:val="center"/>
          </w:tcPr>
          <w:p w14:paraId="0E4BD004">
            <w:pPr>
              <w:spacing w:line="360" w:lineRule="auto"/>
              <w:jc w:val="center"/>
              <w:rPr>
                <w:rFonts w:ascii="仿宋" w:hAnsi="仿宋" w:eastAsia="仿宋" w:cs="仿宋"/>
                <w:sz w:val="24"/>
              </w:rPr>
            </w:pPr>
          </w:p>
        </w:tc>
        <w:tc>
          <w:tcPr>
            <w:tcW w:w="2701" w:type="dxa"/>
            <w:gridSpan w:val="2"/>
            <w:noWrap/>
            <w:vAlign w:val="center"/>
          </w:tcPr>
          <w:p w14:paraId="3002AF2D">
            <w:pPr>
              <w:spacing w:line="360" w:lineRule="auto"/>
              <w:jc w:val="center"/>
              <w:rPr>
                <w:rFonts w:ascii="仿宋" w:hAnsi="仿宋" w:eastAsia="仿宋" w:cs="仿宋"/>
                <w:sz w:val="24"/>
              </w:rPr>
            </w:pPr>
          </w:p>
        </w:tc>
      </w:tr>
      <w:tr w14:paraId="0DE1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510" w:type="dxa"/>
            <w:noWrap/>
            <w:vAlign w:val="center"/>
          </w:tcPr>
          <w:p w14:paraId="722D593C">
            <w:pPr>
              <w:spacing w:line="360" w:lineRule="auto"/>
              <w:jc w:val="center"/>
              <w:rPr>
                <w:rFonts w:ascii="仿宋" w:hAnsi="仿宋" w:eastAsia="仿宋" w:cs="仿宋"/>
                <w:sz w:val="24"/>
              </w:rPr>
            </w:pPr>
            <w:r>
              <w:rPr>
                <w:rFonts w:hint="eastAsia" w:ascii="仿宋" w:hAnsi="仿宋" w:eastAsia="仿宋" w:cs="仿宋"/>
                <w:sz w:val="24"/>
              </w:rPr>
              <w:t>本</w:t>
            </w:r>
          </w:p>
          <w:p w14:paraId="7A3084EA">
            <w:pPr>
              <w:spacing w:line="360" w:lineRule="auto"/>
              <w:jc w:val="center"/>
              <w:rPr>
                <w:rFonts w:ascii="仿宋" w:hAnsi="仿宋" w:eastAsia="仿宋" w:cs="仿宋"/>
                <w:sz w:val="24"/>
              </w:rPr>
            </w:pPr>
            <w:r>
              <w:rPr>
                <w:rFonts w:hint="eastAsia" w:ascii="仿宋" w:hAnsi="仿宋" w:eastAsia="仿宋" w:cs="仿宋"/>
                <w:sz w:val="24"/>
              </w:rPr>
              <w:t>人</w:t>
            </w:r>
          </w:p>
          <w:p w14:paraId="22EC85E4">
            <w:pPr>
              <w:spacing w:line="360" w:lineRule="auto"/>
              <w:jc w:val="center"/>
              <w:rPr>
                <w:rFonts w:ascii="仿宋" w:hAnsi="仿宋" w:eastAsia="仿宋" w:cs="仿宋"/>
                <w:sz w:val="24"/>
              </w:rPr>
            </w:pPr>
            <w:r>
              <w:rPr>
                <w:rFonts w:hint="eastAsia" w:ascii="仿宋" w:hAnsi="仿宋" w:eastAsia="仿宋" w:cs="仿宋"/>
                <w:sz w:val="24"/>
              </w:rPr>
              <w:t>主</w:t>
            </w:r>
          </w:p>
          <w:p w14:paraId="16DECD7F">
            <w:pPr>
              <w:spacing w:line="360" w:lineRule="auto"/>
              <w:jc w:val="center"/>
              <w:rPr>
                <w:rFonts w:ascii="仿宋" w:hAnsi="仿宋" w:eastAsia="仿宋" w:cs="仿宋"/>
                <w:sz w:val="24"/>
              </w:rPr>
            </w:pPr>
            <w:r>
              <w:rPr>
                <w:rFonts w:hint="eastAsia" w:ascii="仿宋" w:hAnsi="仿宋" w:eastAsia="仿宋" w:cs="仿宋"/>
                <w:sz w:val="24"/>
              </w:rPr>
              <w:t>要</w:t>
            </w:r>
          </w:p>
          <w:p w14:paraId="187DB805">
            <w:pPr>
              <w:spacing w:line="360" w:lineRule="auto"/>
              <w:jc w:val="center"/>
              <w:rPr>
                <w:rFonts w:ascii="仿宋" w:hAnsi="仿宋" w:eastAsia="仿宋" w:cs="仿宋"/>
                <w:sz w:val="24"/>
              </w:rPr>
            </w:pPr>
            <w:r>
              <w:rPr>
                <w:rFonts w:hint="eastAsia" w:ascii="仿宋" w:hAnsi="仿宋" w:eastAsia="仿宋" w:cs="仿宋"/>
                <w:sz w:val="24"/>
              </w:rPr>
              <w:t>获</w:t>
            </w:r>
          </w:p>
          <w:p w14:paraId="26F43AE1">
            <w:pPr>
              <w:spacing w:line="360" w:lineRule="auto"/>
              <w:jc w:val="center"/>
              <w:rPr>
                <w:rFonts w:ascii="仿宋" w:hAnsi="仿宋" w:eastAsia="仿宋" w:cs="仿宋"/>
                <w:sz w:val="24"/>
              </w:rPr>
            </w:pPr>
            <w:r>
              <w:rPr>
                <w:rFonts w:hint="eastAsia" w:ascii="仿宋" w:hAnsi="仿宋" w:eastAsia="仿宋" w:cs="仿宋"/>
                <w:sz w:val="24"/>
              </w:rPr>
              <w:t>奖</w:t>
            </w:r>
          </w:p>
          <w:p w14:paraId="4A9CF9AC">
            <w:pPr>
              <w:spacing w:line="360" w:lineRule="auto"/>
              <w:jc w:val="center"/>
              <w:rPr>
                <w:rFonts w:ascii="仿宋" w:hAnsi="仿宋" w:eastAsia="仿宋" w:cs="仿宋"/>
                <w:sz w:val="24"/>
              </w:rPr>
            </w:pPr>
            <w:r>
              <w:rPr>
                <w:rFonts w:hint="eastAsia" w:ascii="仿宋" w:hAnsi="仿宋" w:eastAsia="仿宋" w:cs="仿宋"/>
                <w:sz w:val="24"/>
              </w:rPr>
              <w:t>情</w:t>
            </w:r>
          </w:p>
          <w:p w14:paraId="18E19B61">
            <w:pPr>
              <w:spacing w:line="360" w:lineRule="auto"/>
              <w:jc w:val="center"/>
              <w:rPr>
                <w:rFonts w:ascii="仿宋" w:hAnsi="仿宋" w:eastAsia="仿宋" w:cs="仿宋"/>
                <w:sz w:val="24"/>
              </w:rPr>
            </w:pPr>
            <w:r>
              <w:rPr>
                <w:rFonts w:hint="eastAsia" w:ascii="仿宋" w:hAnsi="仿宋" w:eastAsia="仿宋" w:cs="仿宋"/>
                <w:sz w:val="24"/>
              </w:rPr>
              <w:t>况</w:t>
            </w:r>
          </w:p>
        </w:tc>
        <w:tc>
          <w:tcPr>
            <w:tcW w:w="7525" w:type="dxa"/>
            <w:gridSpan w:val="7"/>
            <w:noWrap/>
            <w:vAlign w:val="center"/>
          </w:tcPr>
          <w:p w14:paraId="5953DDF1">
            <w:pPr>
              <w:spacing w:line="360" w:lineRule="auto"/>
              <w:jc w:val="center"/>
              <w:rPr>
                <w:rFonts w:ascii="仿宋" w:hAnsi="仿宋" w:eastAsia="仿宋" w:cs="仿宋"/>
                <w:sz w:val="24"/>
              </w:rPr>
            </w:pPr>
          </w:p>
        </w:tc>
      </w:tr>
      <w:tr w14:paraId="249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10" w:type="dxa"/>
            <w:noWrap/>
            <w:vAlign w:val="center"/>
          </w:tcPr>
          <w:p w14:paraId="3EE2D98D">
            <w:pPr>
              <w:spacing w:line="360" w:lineRule="auto"/>
              <w:jc w:val="center"/>
              <w:rPr>
                <w:rFonts w:ascii="仿宋" w:hAnsi="仿宋" w:eastAsia="仿宋" w:cs="仿宋"/>
                <w:sz w:val="24"/>
              </w:rPr>
            </w:pPr>
            <w:r>
              <w:rPr>
                <w:rFonts w:hint="eastAsia" w:ascii="仿宋" w:hAnsi="仿宋" w:eastAsia="仿宋" w:cs="仿宋"/>
                <w:sz w:val="24"/>
              </w:rPr>
              <w:t>其它需补充的情况</w:t>
            </w:r>
          </w:p>
        </w:tc>
        <w:tc>
          <w:tcPr>
            <w:tcW w:w="7525" w:type="dxa"/>
            <w:gridSpan w:val="7"/>
            <w:noWrap/>
            <w:vAlign w:val="center"/>
          </w:tcPr>
          <w:p w14:paraId="51696601">
            <w:pPr>
              <w:spacing w:line="360" w:lineRule="auto"/>
              <w:jc w:val="center"/>
              <w:rPr>
                <w:rFonts w:ascii="仿宋" w:hAnsi="仿宋" w:eastAsia="仿宋" w:cs="仿宋"/>
                <w:sz w:val="24"/>
              </w:rPr>
            </w:pPr>
          </w:p>
        </w:tc>
      </w:tr>
    </w:tbl>
    <w:p w14:paraId="0238BA0B">
      <w:pPr>
        <w:spacing w:line="360" w:lineRule="auto"/>
        <w:rPr>
          <w:rFonts w:ascii="仿宋" w:hAnsi="仿宋" w:eastAsia="仿宋" w:cs="仿宋"/>
          <w:b/>
          <w:bCs/>
          <w:sz w:val="24"/>
        </w:rPr>
      </w:pPr>
      <w:r>
        <w:rPr>
          <w:rFonts w:hint="eastAsia" w:ascii="仿宋" w:hAnsi="仿宋" w:eastAsia="仿宋" w:cs="仿宋"/>
          <w:b/>
          <w:bCs/>
          <w:sz w:val="24"/>
        </w:rPr>
        <w:t>注：项目负责人应附身份证、职称证、执业或职业资格证（若有）扫描件；</w:t>
      </w:r>
    </w:p>
    <w:p w14:paraId="7F60597A">
      <w:pPr>
        <w:spacing w:line="360" w:lineRule="auto"/>
        <w:rPr>
          <w:rFonts w:ascii="仿宋" w:hAnsi="仿宋" w:eastAsia="仿宋" w:cs="仿宋"/>
          <w:sz w:val="24"/>
        </w:rPr>
      </w:pPr>
    </w:p>
    <w:p w14:paraId="42350C65">
      <w:pPr>
        <w:pStyle w:val="3"/>
        <w:numPr>
          <w:ilvl w:val="1"/>
          <w:numId w:val="0"/>
        </w:numPr>
        <w:spacing w:line="360" w:lineRule="auto"/>
        <w:jc w:val="both"/>
        <w:rPr>
          <w:rFonts w:ascii="仿宋" w:hAnsi="仿宋" w:eastAsia="仿宋" w:cs="仿宋"/>
          <w:szCs w:val="32"/>
        </w:rPr>
      </w:pPr>
      <w:bookmarkStart w:id="243" w:name="_Toc290487178"/>
      <w:bookmarkStart w:id="244" w:name="_Toc332802334"/>
      <w:bookmarkStart w:id="245" w:name="_Toc7228"/>
      <w:bookmarkStart w:id="246" w:name="_Toc5398"/>
      <w:bookmarkStart w:id="247" w:name="_Toc2802"/>
      <w:bookmarkStart w:id="248" w:name="_Toc303254609"/>
      <w:bookmarkStart w:id="249" w:name="_Toc332803158"/>
      <w:bookmarkStart w:id="250" w:name="_Toc394062328"/>
      <w:bookmarkStart w:id="251" w:name="_Toc510518860"/>
      <w:r>
        <w:rPr>
          <w:rFonts w:hint="eastAsia" w:ascii="仿宋" w:hAnsi="仿宋" w:eastAsia="仿宋" w:cs="仿宋"/>
          <w:szCs w:val="32"/>
        </w:rPr>
        <w:t>（2）拟投入项目人员汇总表</w:t>
      </w:r>
      <w:bookmarkEnd w:id="243"/>
      <w:bookmarkEnd w:id="244"/>
      <w:bookmarkEnd w:id="245"/>
      <w:bookmarkEnd w:id="246"/>
      <w:bookmarkEnd w:id="247"/>
      <w:bookmarkEnd w:id="248"/>
      <w:bookmarkEnd w:id="249"/>
      <w:bookmarkEnd w:id="250"/>
      <w:bookmarkEnd w:id="25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69"/>
        <w:gridCol w:w="915"/>
        <w:gridCol w:w="1296"/>
        <w:gridCol w:w="907"/>
        <w:gridCol w:w="916"/>
        <w:gridCol w:w="1296"/>
        <w:gridCol w:w="2397"/>
      </w:tblGrid>
      <w:tr w14:paraId="679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1" w:type="dxa"/>
            <w:noWrap/>
            <w:vAlign w:val="center"/>
          </w:tcPr>
          <w:p w14:paraId="7313F3A2">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069" w:type="dxa"/>
            <w:noWrap/>
            <w:vAlign w:val="center"/>
          </w:tcPr>
          <w:p w14:paraId="77CAA820">
            <w:pPr>
              <w:spacing w:line="360" w:lineRule="auto"/>
              <w:jc w:val="center"/>
              <w:rPr>
                <w:rFonts w:ascii="仿宋" w:hAnsi="仿宋" w:eastAsia="仿宋" w:cs="仿宋"/>
                <w:b/>
                <w:sz w:val="24"/>
              </w:rPr>
            </w:pPr>
            <w:r>
              <w:rPr>
                <w:rFonts w:hint="eastAsia" w:ascii="仿宋" w:hAnsi="仿宋" w:eastAsia="仿宋" w:cs="仿宋"/>
                <w:b/>
                <w:sz w:val="24"/>
              </w:rPr>
              <w:t>姓名</w:t>
            </w:r>
          </w:p>
        </w:tc>
        <w:tc>
          <w:tcPr>
            <w:tcW w:w="915" w:type="dxa"/>
            <w:noWrap/>
            <w:vAlign w:val="center"/>
          </w:tcPr>
          <w:p w14:paraId="2F239625">
            <w:pPr>
              <w:spacing w:line="360" w:lineRule="auto"/>
              <w:jc w:val="center"/>
              <w:rPr>
                <w:rFonts w:ascii="仿宋" w:hAnsi="仿宋" w:eastAsia="仿宋" w:cs="仿宋"/>
                <w:b/>
                <w:sz w:val="24"/>
              </w:rPr>
            </w:pPr>
            <w:r>
              <w:rPr>
                <w:rFonts w:hint="eastAsia" w:ascii="仿宋" w:hAnsi="仿宋" w:eastAsia="仿宋" w:cs="仿宋"/>
                <w:b/>
                <w:sz w:val="24"/>
              </w:rPr>
              <w:t>性别</w:t>
            </w:r>
          </w:p>
        </w:tc>
        <w:tc>
          <w:tcPr>
            <w:tcW w:w="1296" w:type="dxa"/>
            <w:noWrap/>
            <w:vAlign w:val="center"/>
          </w:tcPr>
          <w:p w14:paraId="61C81B84">
            <w:pPr>
              <w:spacing w:line="360" w:lineRule="auto"/>
              <w:jc w:val="center"/>
              <w:rPr>
                <w:rFonts w:ascii="仿宋" w:hAnsi="仿宋" w:eastAsia="仿宋" w:cs="仿宋"/>
                <w:b/>
                <w:sz w:val="24"/>
              </w:rPr>
            </w:pPr>
            <w:r>
              <w:rPr>
                <w:rFonts w:hint="eastAsia" w:ascii="仿宋" w:hAnsi="仿宋" w:eastAsia="仿宋" w:cs="仿宋"/>
                <w:b/>
                <w:sz w:val="24"/>
              </w:rPr>
              <w:t>出生日期</w:t>
            </w:r>
          </w:p>
        </w:tc>
        <w:tc>
          <w:tcPr>
            <w:tcW w:w="907" w:type="dxa"/>
            <w:noWrap/>
            <w:vAlign w:val="center"/>
          </w:tcPr>
          <w:p w14:paraId="4E71736B">
            <w:pPr>
              <w:spacing w:line="360" w:lineRule="auto"/>
              <w:jc w:val="center"/>
              <w:rPr>
                <w:rFonts w:ascii="仿宋" w:hAnsi="仿宋" w:eastAsia="仿宋" w:cs="仿宋"/>
                <w:b/>
                <w:sz w:val="24"/>
              </w:rPr>
            </w:pPr>
            <w:r>
              <w:rPr>
                <w:rFonts w:hint="eastAsia" w:ascii="仿宋" w:hAnsi="仿宋" w:eastAsia="仿宋" w:cs="仿宋"/>
                <w:b/>
                <w:sz w:val="24"/>
              </w:rPr>
              <w:t>学历</w:t>
            </w:r>
          </w:p>
        </w:tc>
        <w:tc>
          <w:tcPr>
            <w:tcW w:w="916" w:type="dxa"/>
            <w:noWrap/>
            <w:vAlign w:val="center"/>
          </w:tcPr>
          <w:p w14:paraId="19B2F42C">
            <w:pPr>
              <w:spacing w:line="360" w:lineRule="auto"/>
              <w:jc w:val="center"/>
              <w:rPr>
                <w:rFonts w:ascii="仿宋" w:hAnsi="仿宋" w:eastAsia="仿宋" w:cs="仿宋"/>
                <w:b/>
                <w:sz w:val="24"/>
              </w:rPr>
            </w:pPr>
            <w:r>
              <w:rPr>
                <w:rFonts w:hint="eastAsia" w:ascii="仿宋" w:hAnsi="仿宋" w:eastAsia="仿宋" w:cs="仿宋"/>
                <w:b/>
                <w:sz w:val="24"/>
              </w:rPr>
              <w:t>专业</w:t>
            </w:r>
          </w:p>
        </w:tc>
        <w:tc>
          <w:tcPr>
            <w:tcW w:w="1296" w:type="dxa"/>
            <w:noWrap/>
            <w:vAlign w:val="center"/>
          </w:tcPr>
          <w:p w14:paraId="7A9D8FBA">
            <w:pPr>
              <w:spacing w:line="360" w:lineRule="auto"/>
              <w:jc w:val="center"/>
              <w:rPr>
                <w:rFonts w:ascii="仿宋" w:hAnsi="仿宋" w:eastAsia="仿宋" w:cs="仿宋"/>
                <w:b/>
                <w:sz w:val="24"/>
              </w:rPr>
            </w:pPr>
            <w:r>
              <w:rPr>
                <w:rFonts w:hint="eastAsia" w:ascii="仿宋" w:hAnsi="仿宋" w:eastAsia="仿宋" w:cs="仿宋"/>
                <w:b/>
                <w:sz w:val="24"/>
              </w:rPr>
              <w:t>技术职称</w:t>
            </w:r>
          </w:p>
        </w:tc>
        <w:tc>
          <w:tcPr>
            <w:tcW w:w="2397" w:type="dxa"/>
            <w:noWrap/>
            <w:vAlign w:val="center"/>
          </w:tcPr>
          <w:p w14:paraId="278023A5">
            <w:pPr>
              <w:spacing w:line="360" w:lineRule="auto"/>
              <w:jc w:val="center"/>
              <w:rPr>
                <w:rFonts w:ascii="仿宋" w:hAnsi="仿宋" w:eastAsia="仿宋" w:cs="仿宋"/>
                <w:b/>
                <w:sz w:val="24"/>
              </w:rPr>
            </w:pPr>
            <w:r>
              <w:rPr>
                <w:rFonts w:hint="eastAsia" w:ascii="仿宋" w:hAnsi="仿宋" w:eastAsia="仿宋" w:cs="仿宋"/>
                <w:b/>
                <w:sz w:val="24"/>
              </w:rPr>
              <w:t>在本项目拟任职务</w:t>
            </w:r>
          </w:p>
        </w:tc>
      </w:tr>
      <w:tr w14:paraId="695A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3AF96922">
            <w:pPr>
              <w:spacing w:line="360" w:lineRule="auto"/>
              <w:jc w:val="center"/>
              <w:rPr>
                <w:rFonts w:ascii="仿宋" w:hAnsi="仿宋" w:eastAsia="仿宋" w:cs="仿宋"/>
                <w:b/>
                <w:sz w:val="24"/>
              </w:rPr>
            </w:pPr>
          </w:p>
        </w:tc>
        <w:tc>
          <w:tcPr>
            <w:tcW w:w="1069" w:type="dxa"/>
            <w:noWrap/>
            <w:vAlign w:val="center"/>
          </w:tcPr>
          <w:p w14:paraId="591A4027">
            <w:pPr>
              <w:spacing w:line="360" w:lineRule="auto"/>
              <w:jc w:val="center"/>
              <w:rPr>
                <w:rFonts w:ascii="仿宋" w:hAnsi="仿宋" w:eastAsia="仿宋" w:cs="仿宋"/>
                <w:b/>
                <w:sz w:val="24"/>
              </w:rPr>
            </w:pPr>
          </w:p>
        </w:tc>
        <w:tc>
          <w:tcPr>
            <w:tcW w:w="915" w:type="dxa"/>
            <w:noWrap/>
            <w:vAlign w:val="center"/>
          </w:tcPr>
          <w:p w14:paraId="3007A0D4">
            <w:pPr>
              <w:spacing w:line="360" w:lineRule="auto"/>
              <w:jc w:val="center"/>
              <w:rPr>
                <w:rFonts w:ascii="仿宋" w:hAnsi="仿宋" w:eastAsia="仿宋" w:cs="仿宋"/>
                <w:b/>
                <w:sz w:val="24"/>
              </w:rPr>
            </w:pPr>
          </w:p>
        </w:tc>
        <w:tc>
          <w:tcPr>
            <w:tcW w:w="1296" w:type="dxa"/>
            <w:noWrap/>
            <w:vAlign w:val="center"/>
          </w:tcPr>
          <w:p w14:paraId="2BC7DE9C">
            <w:pPr>
              <w:spacing w:line="360" w:lineRule="auto"/>
              <w:jc w:val="center"/>
              <w:rPr>
                <w:rFonts w:ascii="仿宋" w:hAnsi="仿宋" w:eastAsia="仿宋" w:cs="仿宋"/>
                <w:b/>
                <w:sz w:val="24"/>
              </w:rPr>
            </w:pPr>
          </w:p>
        </w:tc>
        <w:tc>
          <w:tcPr>
            <w:tcW w:w="907" w:type="dxa"/>
            <w:noWrap/>
            <w:vAlign w:val="center"/>
          </w:tcPr>
          <w:p w14:paraId="5AD6708F">
            <w:pPr>
              <w:spacing w:line="360" w:lineRule="auto"/>
              <w:jc w:val="center"/>
              <w:rPr>
                <w:rFonts w:ascii="仿宋" w:hAnsi="仿宋" w:eastAsia="仿宋" w:cs="仿宋"/>
                <w:b/>
                <w:sz w:val="24"/>
              </w:rPr>
            </w:pPr>
          </w:p>
        </w:tc>
        <w:tc>
          <w:tcPr>
            <w:tcW w:w="916" w:type="dxa"/>
            <w:noWrap/>
            <w:vAlign w:val="center"/>
          </w:tcPr>
          <w:p w14:paraId="587AB416">
            <w:pPr>
              <w:spacing w:line="360" w:lineRule="auto"/>
              <w:jc w:val="center"/>
              <w:rPr>
                <w:rFonts w:ascii="仿宋" w:hAnsi="仿宋" w:eastAsia="仿宋" w:cs="仿宋"/>
                <w:b/>
                <w:sz w:val="24"/>
              </w:rPr>
            </w:pPr>
          </w:p>
        </w:tc>
        <w:tc>
          <w:tcPr>
            <w:tcW w:w="1296" w:type="dxa"/>
            <w:noWrap/>
            <w:vAlign w:val="center"/>
          </w:tcPr>
          <w:p w14:paraId="24622A5C">
            <w:pPr>
              <w:spacing w:line="360" w:lineRule="auto"/>
              <w:jc w:val="center"/>
              <w:rPr>
                <w:rFonts w:ascii="仿宋" w:hAnsi="仿宋" w:eastAsia="仿宋" w:cs="仿宋"/>
                <w:b/>
                <w:sz w:val="24"/>
              </w:rPr>
            </w:pPr>
          </w:p>
        </w:tc>
        <w:tc>
          <w:tcPr>
            <w:tcW w:w="2397" w:type="dxa"/>
            <w:noWrap/>
            <w:vAlign w:val="center"/>
          </w:tcPr>
          <w:p w14:paraId="0A626478">
            <w:pPr>
              <w:spacing w:line="360" w:lineRule="auto"/>
              <w:jc w:val="center"/>
              <w:rPr>
                <w:rFonts w:ascii="仿宋" w:hAnsi="仿宋" w:eastAsia="仿宋" w:cs="仿宋"/>
                <w:b/>
                <w:sz w:val="24"/>
              </w:rPr>
            </w:pPr>
          </w:p>
        </w:tc>
      </w:tr>
      <w:tr w14:paraId="656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3030F0A5">
            <w:pPr>
              <w:spacing w:line="360" w:lineRule="auto"/>
              <w:jc w:val="center"/>
              <w:rPr>
                <w:rFonts w:ascii="仿宋" w:hAnsi="仿宋" w:eastAsia="仿宋" w:cs="仿宋"/>
                <w:b/>
                <w:sz w:val="24"/>
              </w:rPr>
            </w:pPr>
          </w:p>
        </w:tc>
        <w:tc>
          <w:tcPr>
            <w:tcW w:w="1069" w:type="dxa"/>
            <w:noWrap/>
            <w:vAlign w:val="center"/>
          </w:tcPr>
          <w:p w14:paraId="010C85B6">
            <w:pPr>
              <w:spacing w:line="360" w:lineRule="auto"/>
              <w:jc w:val="center"/>
              <w:rPr>
                <w:rFonts w:ascii="仿宋" w:hAnsi="仿宋" w:eastAsia="仿宋" w:cs="仿宋"/>
                <w:b/>
                <w:sz w:val="24"/>
              </w:rPr>
            </w:pPr>
          </w:p>
        </w:tc>
        <w:tc>
          <w:tcPr>
            <w:tcW w:w="915" w:type="dxa"/>
            <w:noWrap/>
            <w:vAlign w:val="center"/>
          </w:tcPr>
          <w:p w14:paraId="5B181897">
            <w:pPr>
              <w:spacing w:line="360" w:lineRule="auto"/>
              <w:jc w:val="center"/>
              <w:rPr>
                <w:rFonts w:ascii="仿宋" w:hAnsi="仿宋" w:eastAsia="仿宋" w:cs="仿宋"/>
                <w:b/>
                <w:sz w:val="24"/>
              </w:rPr>
            </w:pPr>
          </w:p>
        </w:tc>
        <w:tc>
          <w:tcPr>
            <w:tcW w:w="1296" w:type="dxa"/>
            <w:noWrap/>
            <w:vAlign w:val="center"/>
          </w:tcPr>
          <w:p w14:paraId="3D41972A">
            <w:pPr>
              <w:spacing w:line="360" w:lineRule="auto"/>
              <w:jc w:val="center"/>
              <w:rPr>
                <w:rFonts w:ascii="仿宋" w:hAnsi="仿宋" w:eastAsia="仿宋" w:cs="仿宋"/>
                <w:b/>
                <w:sz w:val="24"/>
              </w:rPr>
            </w:pPr>
          </w:p>
        </w:tc>
        <w:tc>
          <w:tcPr>
            <w:tcW w:w="907" w:type="dxa"/>
            <w:noWrap/>
            <w:vAlign w:val="center"/>
          </w:tcPr>
          <w:p w14:paraId="7D9A41CE">
            <w:pPr>
              <w:spacing w:line="360" w:lineRule="auto"/>
              <w:jc w:val="center"/>
              <w:rPr>
                <w:rFonts w:ascii="仿宋" w:hAnsi="仿宋" w:eastAsia="仿宋" w:cs="仿宋"/>
                <w:b/>
                <w:sz w:val="24"/>
              </w:rPr>
            </w:pPr>
          </w:p>
        </w:tc>
        <w:tc>
          <w:tcPr>
            <w:tcW w:w="916" w:type="dxa"/>
            <w:noWrap/>
            <w:vAlign w:val="center"/>
          </w:tcPr>
          <w:p w14:paraId="25A3CB45">
            <w:pPr>
              <w:spacing w:line="360" w:lineRule="auto"/>
              <w:jc w:val="center"/>
              <w:rPr>
                <w:rFonts w:ascii="仿宋" w:hAnsi="仿宋" w:eastAsia="仿宋" w:cs="仿宋"/>
                <w:b/>
                <w:sz w:val="24"/>
              </w:rPr>
            </w:pPr>
          </w:p>
        </w:tc>
        <w:tc>
          <w:tcPr>
            <w:tcW w:w="1296" w:type="dxa"/>
            <w:noWrap/>
            <w:vAlign w:val="center"/>
          </w:tcPr>
          <w:p w14:paraId="4E0CEBF6">
            <w:pPr>
              <w:spacing w:line="360" w:lineRule="auto"/>
              <w:jc w:val="center"/>
              <w:rPr>
                <w:rFonts w:ascii="仿宋" w:hAnsi="仿宋" w:eastAsia="仿宋" w:cs="仿宋"/>
                <w:b/>
                <w:sz w:val="24"/>
              </w:rPr>
            </w:pPr>
          </w:p>
        </w:tc>
        <w:tc>
          <w:tcPr>
            <w:tcW w:w="2397" w:type="dxa"/>
            <w:noWrap/>
            <w:vAlign w:val="center"/>
          </w:tcPr>
          <w:p w14:paraId="6D8D053E">
            <w:pPr>
              <w:spacing w:line="360" w:lineRule="auto"/>
              <w:jc w:val="center"/>
              <w:rPr>
                <w:rFonts w:ascii="仿宋" w:hAnsi="仿宋" w:eastAsia="仿宋" w:cs="仿宋"/>
                <w:b/>
                <w:sz w:val="24"/>
              </w:rPr>
            </w:pPr>
          </w:p>
        </w:tc>
      </w:tr>
      <w:tr w14:paraId="08C8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34CAE4DD">
            <w:pPr>
              <w:spacing w:line="360" w:lineRule="auto"/>
              <w:jc w:val="center"/>
              <w:rPr>
                <w:rFonts w:ascii="仿宋" w:hAnsi="仿宋" w:eastAsia="仿宋" w:cs="仿宋"/>
                <w:b/>
                <w:sz w:val="24"/>
              </w:rPr>
            </w:pPr>
          </w:p>
        </w:tc>
        <w:tc>
          <w:tcPr>
            <w:tcW w:w="1069" w:type="dxa"/>
            <w:noWrap/>
            <w:vAlign w:val="center"/>
          </w:tcPr>
          <w:p w14:paraId="26E9E71B">
            <w:pPr>
              <w:spacing w:line="360" w:lineRule="auto"/>
              <w:jc w:val="center"/>
              <w:rPr>
                <w:rFonts w:ascii="仿宋" w:hAnsi="仿宋" w:eastAsia="仿宋" w:cs="仿宋"/>
                <w:b/>
                <w:sz w:val="24"/>
              </w:rPr>
            </w:pPr>
          </w:p>
        </w:tc>
        <w:tc>
          <w:tcPr>
            <w:tcW w:w="915" w:type="dxa"/>
            <w:noWrap/>
            <w:vAlign w:val="center"/>
          </w:tcPr>
          <w:p w14:paraId="35E29420">
            <w:pPr>
              <w:spacing w:line="360" w:lineRule="auto"/>
              <w:jc w:val="center"/>
              <w:rPr>
                <w:rFonts w:ascii="仿宋" w:hAnsi="仿宋" w:eastAsia="仿宋" w:cs="仿宋"/>
                <w:b/>
                <w:sz w:val="24"/>
              </w:rPr>
            </w:pPr>
          </w:p>
        </w:tc>
        <w:tc>
          <w:tcPr>
            <w:tcW w:w="1296" w:type="dxa"/>
            <w:noWrap/>
            <w:vAlign w:val="center"/>
          </w:tcPr>
          <w:p w14:paraId="70888E61">
            <w:pPr>
              <w:spacing w:line="360" w:lineRule="auto"/>
              <w:jc w:val="center"/>
              <w:rPr>
                <w:rFonts w:ascii="仿宋" w:hAnsi="仿宋" w:eastAsia="仿宋" w:cs="仿宋"/>
                <w:b/>
                <w:sz w:val="24"/>
              </w:rPr>
            </w:pPr>
          </w:p>
        </w:tc>
        <w:tc>
          <w:tcPr>
            <w:tcW w:w="907" w:type="dxa"/>
            <w:noWrap/>
            <w:vAlign w:val="center"/>
          </w:tcPr>
          <w:p w14:paraId="1BD6A6CD">
            <w:pPr>
              <w:spacing w:line="360" w:lineRule="auto"/>
              <w:jc w:val="center"/>
              <w:rPr>
                <w:rFonts w:ascii="仿宋" w:hAnsi="仿宋" w:eastAsia="仿宋" w:cs="仿宋"/>
                <w:b/>
                <w:sz w:val="24"/>
              </w:rPr>
            </w:pPr>
          </w:p>
        </w:tc>
        <w:tc>
          <w:tcPr>
            <w:tcW w:w="916" w:type="dxa"/>
            <w:noWrap/>
            <w:vAlign w:val="center"/>
          </w:tcPr>
          <w:p w14:paraId="77439164">
            <w:pPr>
              <w:spacing w:line="360" w:lineRule="auto"/>
              <w:jc w:val="center"/>
              <w:rPr>
                <w:rFonts w:ascii="仿宋" w:hAnsi="仿宋" w:eastAsia="仿宋" w:cs="仿宋"/>
                <w:b/>
                <w:sz w:val="24"/>
              </w:rPr>
            </w:pPr>
          </w:p>
        </w:tc>
        <w:tc>
          <w:tcPr>
            <w:tcW w:w="1296" w:type="dxa"/>
            <w:noWrap/>
            <w:vAlign w:val="center"/>
          </w:tcPr>
          <w:p w14:paraId="4BEE258D">
            <w:pPr>
              <w:spacing w:line="360" w:lineRule="auto"/>
              <w:jc w:val="center"/>
              <w:rPr>
                <w:rFonts w:ascii="仿宋" w:hAnsi="仿宋" w:eastAsia="仿宋" w:cs="仿宋"/>
                <w:b/>
                <w:sz w:val="24"/>
              </w:rPr>
            </w:pPr>
          </w:p>
        </w:tc>
        <w:tc>
          <w:tcPr>
            <w:tcW w:w="2397" w:type="dxa"/>
            <w:noWrap/>
            <w:vAlign w:val="center"/>
          </w:tcPr>
          <w:p w14:paraId="77F50547">
            <w:pPr>
              <w:spacing w:line="360" w:lineRule="auto"/>
              <w:jc w:val="center"/>
              <w:rPr>
                <w:rFonts w:ascii="仿宋" w:hAnsi="仿宋" w:eastAsia="仿宋" w:cs="仿宋"/>
                <w:b/>
                <w:sz w:val="24"/>
              </w:rPr>
            </w:pPr>
          </w:p>
        </w:tc>
      </w:tr>
      <w:tr w14:paraId="3589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44B29FB0">
            <w:pPr>
              <w:spacing w:line="360" w:lineRule="auto"/>
              <w:jc w:val="center"/>
              <w:rPr>
                <w:rFonts w:ascii="仿宋" w:hAnsi="仿宋" w:eastAsia="仿宋" w:cs="仿宋"/>
                <w:b/>
                <w:sz w:val="24"/>
              </w:rPr>
            </w:pPr>
          </w:p>
        </w:tc>
        <w:tc>
          <w:tcPr>
            <w:tcW w:w="1069" w:type="dxa"/>
            <w:noWrap/>
            <w:vAlign w:val="center"/>
          </w:tcPr>
          <w:p w14:paraId="7223506E">
            <w:pPr>
              <w:spacing w:line="360" w:lineRule="auto"/>
              <w:jc w:val="center"/>
              <w:rPr>
                <w:rFonts w:ascii="仿宋" w:hAnsi="仿宋" w:eastAsia="仿宋" w:cs="仿宋"/>
                <w:b/>
                <w:sz w:val="24"/>
              </w:rPr>
            </w:pPr>
          </w:p>
        </w:tc>
        <w:tc>
          <w:tcPr>
            <w:tcW w:w="915" w:type="dxa"/>
            <w:noWrap/>
            <w:vAlign w:val="center"/>
          </w:tcPr>
          <w:p w14:paraId="1E3EB5F2">
            <w:pPr>
              <w:spacing w:line="360" w:lineRule="auto"/>
              <w:jc w:val="center"/>
              <w:rPr>
                <w:rFonts w:ascii="仿宋" w:hAnsi="仿宋" w:eastAsia="仿宋" w:cs="仿宋"/>
                <w:b/>
                <w:sz w:val="24"/>
              </w:rPr>
            </w:pPr>
          </w:p>
        </w:tc>
        <w:tc>
          <w:tcPr>
            <w:tcW w:w="1296" w:type="dxa"/>
            <w:noWrap/>
            <w:vAlign w:val="center"/>
          </w:tcPr>
          <w:p w14:paraId="559908A0">
            <w:pPr>
              <w:spacing w:line="360" w:lineRule="auto"/>
              <w:jc w:val="center"/>
              <w:rPr>
                <w:rFonts w:ascii="仿宋" w:hAnsi="仿宋" w:eastAsia="仿宋" w:cs="仿宋"/>
                <w:b/>
                <w:sz w:val="24"/>
              </w:rPr>
            </w:pPr>
          </w:p>
        </w:tc>
        <w:tc>
          <w:tcPr>
            <w:tcW w:w="907" w:type="dxa"/>
            <w:noWrap/>
            <w:vAlign w:val="center"/>
          </w:tcPr>
          <w:p w14:paraId="3F294713">
            <w:pPr>
              <w:spacing w:line="360" w:lineRule="auto"/>
              <w:jc w:val="center"/>
              <w:rPr>
                <w:rFonts w:ascii="仿宋" w:hAnsi="仿宋" w:eastAsia="仿宋" w:cs="仿宋"/>
                <w:b/>
                <w:sz w:val="24"/>
              </w:rPr>
            </w:pPr>
          </w:p>
        </w:tc>
        <w:tc>
          <w:tcPr>
            <w:tcW w:w="916" w:type="dxa"/>
            <w:noWrap/>
            <w:vAlign w:val="center"/>
          </w:tcPr>
          <w:p w14:paraId="190F2F99">
            <w:pPr>
              <w:spacing w:line="360" w:lineRule="auto"/>
              <w:jc w:val="center"/>
              <w:rPr>
                <w:rFonts w:ascii="仿宋" w:hAnsi="仿宋" w:eastAsia="仿宋" w:cs="仿宋"/>
                <w:b/>
                <w:sz w:val="24"/>
              </w:rPr>
            </w:pPr>
          </w:p>
        </w:tc>
        <w:tc>
          <w:tcPr>
            <w:tcW w:w="1296" w:type="dxa"/>
            <w:noWrap/>
            <w:vAlign w:val="center"/>
          </w:tcPr>
          <w:p w14:paraId="40A0ABBD">
            <w:pPr>
              <w:spacing w:line="360" w:lineRule="auto"/>
              <w:jc w:val="center"/>
              <w:rPr>
                <w:rFonts w:ascii="仿宋" w:hAnsi="仿宋" w:eastAsia="仿宋" w:cs="仿宋"/>
                <w:b/>
                <w:sz w:val="24"/>
              </w:rPr>
            </w:pPr>
          </w:p>
        </w:tc>
        <w:tc>
          <w:tcPr>
            <w:tcW w:w="2397" w:type="dxa"/>
            <w:noWrap/>
            <w:vAlign w:val="center"/>
          </w:tcPr>
          <w:p w14:paraId="3D17E722">
            <w:pPr>
              <w:spacing w:line="360" w:lineRule="auto"/>
              <w:jc w:val="center"/>
              <w:rPr>
                <w:rFonts w:ascii="仿宋" w:hAnsi="仿宋" w:eastAsia="仿宋" w:cs="仿宋"/>
                <w:b/>
                <w:sz w:val="24"/>
              </w:rPr>
            </w:pPr>
          </w:p>
        </w:tc>
      </w:tr>
      <w:tr w14:paraId="3F94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35E667C5">
            <w:pPr>
              <w:spacing w:line="360" w:lineRule="auto"/>
              <w:jc w:val="center"/>
              <w:rPr>
                <w:rFonts w:ascii="仿宋" w:hAnsi="仿宋" w:eastAsia="仿宋" w:cs="仿宋"/>
                <w:b/>
                <w:sz w:val="24"/>
              </w:rPr>
            </w:pPr>
          </w:p>
        </w:tc>
        <w:tc>
          <w:tcPr>
            <w:tcW w:w="1069" w:type="dxa"/>
            <w:noWrap/>
            <w:vAlign w:val="center"/>
          </w:tcPr>
          <w:p w14:paraId="20D3C737">
            <w:pPr>
              <w:spacing w:line="360" w:lineRule="auto"/>
              <w:jc w:val="center"/>
              <w:rPr>
                <w:rFonts w:ascii="仿宋" w:hAnsi="仿宋" w:eastAsia="仿宋" w:cs="仿宋"/>
                <w:b/>
                <w:sz w:val="24"/>
              </w:rPr>
            </w:pPr>
          </w:p>
        </w:tc>
        <w:tc>
          <w:tcPr>
            <w:tcW w:w="915" w:type="dxa"/>
            <w:noWrap/>
            <w:vAlign w:val="center"/>
          </w:tcPr>
          <w:p w14:paraId="597F15D7">
            <w:pPr>
              <w:spacing w:line="360" w:lineRule="auto"/>
              <w:jc w:val="center"/>
              <w:rPr>
                <w:rFonts w:ascii="仿宋" w:hAnsi="仿宋" w:eastAsia="仿宋" w:cs="仿宋"/>
                <w:b/>
                <w:sz w:val="24"/>
              </w:rPr>
            </w:pPr>
          </w:p>
        </w:tc>
        <w:tc>
          <w:tcPr>
            <w:tcW w:w="1296" w:type="dxa"/>
            <w:noWrap/>
            <w:vAlign w:val="center"/>
          </w:tcPr>
          <w:p w14:paraId="3FD0AF3D">
            <w:pPr>
              <w:spacing w:line="360" w:lineRule="auto"/>
              <w:jc w:val="center"/>
              <w:rPr>
                <w:rFonts w:ascii="仿宋" w:hAnsi="仿宋" w:eastAsia="仿宋" w:cs="仿宋"/>
                <w:b/>
                <w:sz w:val="24"/>
              </w:rPr>
            </w:pPr>
          </w:p>
        </w:tc>
        <w:tc>
          <w:tcPr>
            <w:tcW w:w="907" w:type="dxa"/>
            <w:noWrap/>
            <w:vAlign w:val="center"/>
          </w:tcPr>
          <w:p w14:paraId="7155F4EA">
            <w:pPr>
              <w:spacing w:line="360" w:lineRule="auto"/>
              <w:jc w:val="center"/>
              <w:rPr>
                <w:rFonts w:ascii="仿宋" w:hAnsi="仿宋" w:eastAsia="仿宋" w:cs="仿宋"/>
                <w:b/>
                <w:sz w:val="24"/>
              </w:rPr>
            </w:pPr>
          </w:p>
        </w:tc>
        <w:tc>
          <w:tcPr>
            <w:tcW w:w="916" w:type="dxa"/>
            <w:noWrap/>
            <w:vAlign w:val="center"/>
          </w:tcPr>
          <w:p w14:paraId="043B8CE1">
            <w:pPr>
              <w:spacing w:line="360" w:lineRule="auto"/>
              <w:jc w:val="center"/>
              <w:rPr>
                <w:rFonts w:ascii="仿宋" w:hAnsi="仿宋" w:eastAsia="仿宋" w:cs="仿宋"/>
                <w:b/>
                <w:sz w:val="24"/>
              </w:rPr>
            </w:pPr>
          </w:p>
        </w:tc>
        <w:tc>
          <w:tcPr>
            <w:tcW w:w="1296" w:type="dxa"/>
            <w:noWrap/>
            <w:vAlign w:val="center"/>
          </w:tcPr>
          <w:p w14:paraId="2D553CF9">
            <w:pPr>
              <w:spacing w:line="360" w:lineRule="auto"/>
              <w:jc w:val="center"/>
              <w:rPr>
                <w:rFonts w:ascii="仿宋" w:hAnsi="仿宋" w:eastAsia="仿宋" w:cs="仿宋"/>
                <w:b/>
                <w:sz w:val="24"/>
              </w:rPr>
            </w:pPr>
          </w:p>
        </w:tc>
        <w:tc>
          <w:tcPr>
            <w:tcW w:w="2397" w:type="dxa"/>
            <w:noWrap/>
            <w:vAlign w:val="center"/>
          </w:tcPr>
          <w:p w14:paraId="7F477428">
            <w:pPr>
              <w:spacing w:line="360" w:lineRule="auto"/>
              <w:jc w:val="center"/>
              <w:rPr>
                <w:rFonts w:ascii="仿宋" w:hAnsi="仿宋" w:eastAsia="仿宋" w:cs="仿宋"/>
                <w:b/>
                <w:sz w:val="24"/>
              </w:rPr>
            </w:pPr>
          </w:p>
        </w:tc>
      </w:tr>
      <w:tr w14:paraId="0BD8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03582138">
            <w:pPr>
              <w:spacing w:line="360" w:lineRule="auto"/>
              <w:jc w:val="center"/>
              <w:rPr>
                <w:rFonts w:ascii="仿宋" w:hAnsi="仿宋" w:eastAsia="仿宋" w:cs="仿宋"/>
                <w:b/>
                <w:sz w:val="24"/>
              </w:rPr>
            </w:pPr>
          </w:p>
        </w:tc>
        <w:tc>
          <w:tcPr>
            <w:tcW w:w="1069" w:type="dxa"/>
            <w:noWrap/>
            <w:vAlign w:val="center"/>
          </w:tcPr>
          <w:p w14:paraId="287A37D1">
            <w:pPr>
              <w:spacing w:line="360" w:lineRule="auto"/>
              <w:jc w:val="center"/>
              <w:rPr>
                <w:rFonts w:ascii="仿宋" w:hAnsi="仿宋" w:eastAsia="仿宋" w:cs="仿宋"/>
                <w:b/>
                <w:sz w:val="24"/>
              </w:rPr>
            </w:pPr>
          </w:p>
        </w:tc>
        <w:tc>
          <w:tcPr>
            <w:tcW w:w="915" w:type="dxa"/>
            <w:noWrap/>
            <w:vAlign w:val="center"/>
          </w:tcPr>
          <w:p w14:paraId="2F270CC6">
            <w:pPr>
              <w:spacing w:line="360" w:lineRule="auto"/>
              <w:jc w:val="center"/>
              <w:rPr>
                <w:rFonts w:ascii="仿宋" w:hAnsi="仿宋" w:eastAsia="仿宋" w:cs="仿宋"/>
                <w:b/>
                <w:sz w:val="24"/>
              </w:rPr>
            </w:pPr>
          </w:p>
        </w:tc>
        <w:tc>
          <w:tcPr>
            <w:tcW w:w="1296" w:type="dxa"/>
            <w:noWrap/>
            <w:vAlign w:val="center"/>
          </w:tcPr>
          <w:p w14:paraId="12C5818B">
            <w:pPr>
              <w:spacing w:line="360" w:lineRule="auto"/>
              <w:jc w:val="center"/>
              <w:rPr>
                <w:rFonts w:ascii="仿宋" w:hAnsi="仿宋" w:eastAsia="仿宋" w:cs="仿宋"/>
                <w:b/>
                <w:sz w:val="24"/>
              </w:rPr>
            </w:pPr>
          </w:p>
        </w:tc>
        <w:tc>
          <w:tcPr>
            <w:tcW w:w="907" w:type="dxa"/>
            <w:noWrap/>
            <w:vAlign w:val="center"/>
          </w:tcPr>
          <w:p w14:paraId="184221CA">
            <w:pPr>
              <w:spacing w:line="360" w:lineRule="auto"/>
              <w:jc w:val="center"/>
              <w:rPr>
                <w:rFonts w:ascii="仿宋" w:hAnsi="仿宋" w:eastAsia="仿宋" w:cs="仿宋"/>
                <w:b/>
                <w:sz w:val="24"/>
              </w:rPr>
            </w:pPr>
          </w:p>
        </w:tc>
        <w:tc>
          <w:tcPr>
            <w:tcW w:w="916" w:type="dxa"/>
            <w:noWrap/>
            <w:vAlign w:val="center"/>
          </w:tcPr>
          <w:p w14:paraId="07DC6FB5">
            <w:pPr>
              <w:spacing w:line="360" w:lineRule="auto"/>
              <w:jc w:val="center"/>
              <w:rPr>
                <w:rFonts w:ascii="仿宋" w:hAnsi="仿宋" w:eastAsia="仿宋" w:cs="仿宋"/>
                <w:b/>
                <w:sz w:val="24"/>
              </w:rPr>
            </w:pPr>
          </w:p>
        </w:tc>
        <w:tc>
          <w:tcPr>
            <w:tcW w:w="1296" w:type="dxa"/>
            <w:noWrap/>
            <w:vAlign w:val="center"/>
          </w:tcPr>
          <w:p w14:paraId="77F08D04">
            <w:pPr>
              <w:spacing w:line="360" w:lineRule="auto"/>
              <w:jc w:val="center"/>
              <w:rPr>
                <w:rFonts w:ascii="仿宋" w:hAnsi="仿宋" w:eastAsia="仿宋" w:cs="仿宋"/>
                <w:b/>
                <w:sz w:val="24"/>
              </w:rPr>
            </w:pPr>
          </w:p>
        </w:tc>
        <w:tc>
          <w:tcPr>
            <w:tcW w:w="2397" w:type="dxa"/>
            <w:noWrap/>
            <w:vAlign w:val="center"/>
          </w:tcPr>
          <w:p w14:paraId="25B18DFF">
            <w:pPr>
              <w:spacing w:line="360" w:lineRule="auto"/>
              <w:jc w:val="center"/>
              <w:rPr>
                <w:rFonts w:ascii="仿宋" w:hAnsi="仿宋" w:eastAsia="仿宋" w:cs="仿宋"/>
                <w:b/>
                <w:sz w:val="24"/>
              </w:rPr>
            </w:pPr>
          </w:p>
        </w:tc>
      </w:tr>
      <w:tr w14:paraId="114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14059B31">
            <w:pPr>
              <w:spacing w:line="360" w:lineRule="auto"/>
              <w:jc w:val="center"/>
              <w:rPr>
                <w:rFonts w:ascii="仿宋" w:hAnsi="仿宋" w:eastAsia="仿宋" w:cs="仿宋"/>
                <w:b/>
                <w:sz w:val="24"/>
              </w:rPr>
            </w:pPr>
          </w:p>
        </w:tc>
        <w:tc>
          <w:tcPr>
            <w:tcW w:w="1069" w:type="dxa"/>
            <w:noWrap/>
            <w:vAlign w:val="center"/>
          </w:tcPr>
          <w:p w14:paraId="5D276F1E">
            <w:pPr>
              <w:spacing w:line="360" w:lineRule="auto"/>
              <w:jc w:val="center"/>
              <w:rPr>
                <w:rFonts w:ascii="仿宋" w:hAnsi="仿宋" w:eastAsia="仿宋" w:cs="仿宋"/>
                <w:b/>
                <w:sz w:val="24"/>
              </w:rPr>
            </w:pPr>
          </w:p>
        </w:tc>
        <w:tc>
          <w:tcPr>
            <w:tcW w:w="915" w:type="dxa"/>
            <w:noWrap/>
            <w:vAlign w:val="center"/>
          </w:tcPr>
          <w:p w14:paraId="1EA57172">
            <w:pPr>
              <w:spacing w:line="360" w:lineRule="auto"/>
              <w:jc w:val="center"/>
              <w:rPr>
                <w:rFonts w:ascii="仿宋" w:hAnsi="仿宋" w:eastAsia="仿宋" w:cs="仿宋"/>
                <w:b/>
                <w:sz w:val="24"/>
              </w:rPr>
            </w:pPr>
          </w:p>
        </w:tc>
        <w:tc>
          <w:tcPr>
            <w:tcW w:w="1296" w:type="dxa"/>
            <w:noWrap/>
            <w:vAlign w:val="center"/>
          </w:tcPr>
          <w:p w14:paraId="5AC1EFBD">
            <w:pPr>
              <w:spacing w:line="360" w:lineRule="auto"/>
              <w:jc w:val="center"/>
              <w:rPr>
                <w:rFonts w:ascii="仿宋" w:hAnsi="仿宋" w:eastAsia="仿宋" w:cs="仿宋"/>
                <w:b/>
                <w:sz w:val="24"/>
              </w:rPr>
            </w:pPr>
          </w:p>
        </w:tc>
        <w:tc>
          <w:tcPr>
            <w:tcW w:w="907" w:type="dxa"/>
            <w:noWrap/>
            <w:vAlign w:val="center"/>
          </w:tcPr>
          <w:p w14:paraId="58BFA0BD">
            <w:pPr>
              <w:spacing w:line="360" w:lineRule="auto"/>
              <w:jc w:val="center"/>
              <w:rPr>
                <w:rFonts w:ascii="仿宋" w:hAnsi="仿宋" w:eastAsia="仿宋" w:cs="仿宋"/>
                <w:b/>
                <w:sz w:val="24"/>
              </w:rPr>
            </w:pPr>
          </w:p>
        </w:tc>
        <w:tc>
          <w:tcPr>
            <w:tcW w:w="916" w:type="dxa"/>
            <w:noWrap/>
            <w:vAlign w:val="center"/>
          </w:tcPr>
          <w:p w14:paraId="6B7E449D">
            <w:pPr>
              <w:spacing w:line="360" w:lineRule="auto"/>
              <w:jc w:val="center"/>
              <w:rPr>
                <w:rFonts w:ascii="仿宋" w:hAnsi="仿宋" w:eastAsia="仿宋" w:cs="仿宋"/>
                <w:b/>
                <w:sz w:val="24"/>
              </w:rPr>
            </w:pPr>
          </w:p>
        </w:tc>
        <w:tc>
          <w:tcPr>
            <w:tcW w:w="1296" w:type="dxa"/>
            <w:noWrap/>
            <w:vAlign w:val="center"/>
          </w:tcPr>
          <w:p w14:paraId="3DE12A39">
            <w:pPr>
              <w:spacing w:line="360" w:lineRule="auto"/>
              <w:jc w:val="center"/>
              <w:rPr>
                <w:rFonts w:ascii="仿宋" w:hAnsi="仿宋" w:eastAsia="仿宋" w:cs="仿宋"/>
                <w:b/>
                <w:sz w:val="24"/>
              </w:rPr>
            </w:pPr>
          </w:p>
        </w:tc>
        <w:tc>
          <w:tcPr>
            <w:tcW w:w="2397" w:type="dxa"/>
            <w:noWrap/>
            <w:vAlign w:val="center"/>
          </w:tcPr>
          <w:p w14:paraId="12D74C69">
            <w:pPr>
              <w:spacing w:line="360" w:lineRule="auto"/>
              <w:jc w:val="center"/>
              <w:rPr>
                <w:rFonts w:ascii="仿宋" w:hAnsi="仿宋" w:eastAsia="仿宋" w:cs="仿宋"/>
                <w:b/>
                <w:sz w:val="24"/>
              </w:rPr>
            </w:pPr>
          </w:p>
        </w:tc>
      </w:tr>
      <w:tr w14:paraId="3671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68620CAD">
            <w:pPr>
              <w:spacing w:line="360" w:lineRule="auto"/>
              <w:jc w:val="center"/>
              <w:rPr>
                <w:rFonts w:ascii="仿宋" w:hAnsi="仿宋" w:eastAsia="仿宋" w:cs="仿宋"/>
                <w:b/>
                <w:sz w:val="24"/>
              </w:rPr>
            </w:pPr>
          </w:p>
        </w:tc>
        <w:tc>
          <w:tcPr>
            <w:tcW w:w="1069" w:type="dxa"/>
            <w:noWrap/>
            <w:vAlign w:val="center"/>
          </w:tcPr>
          <w:p w14:paraId="5C526D36">
            <w:pPr>
              <w:spacing w:line="360" w:lineRule="auto"/>
              <w:jc w:val="center"/>
              <w:rPr>
                <w:rFonts w:ascii="仿宋" w:hAnsi="仿宋" w:eastAsia="仿宋" w:cs="仿宋"/>
                <w:b/>
                <w:sz w:val="24"/>
              </w:rPr>
            </w:pPr>
          </w:p>
        </w:tc>
        <w:tc>
          <w:tcPr>
            <w:tcW w:w="915" w:type="dxa"/>
            <w:noWrap/>
            <w:vAlign w:val="center"/>
          </w:tcPr>
          <w:p w14:paraId="062652CF">
            <w:pPr>
              <w:spacing w:line="360" w:lineRule="auto"/>
              <w:jc w:val="center"/>
              <w:rPr>
                <w:rFonts w:ascii="仿宋" w:hAnsi="仿宋" w:eastAsia="仿宋" w:cs="仿宋"/>
                <w:b/>
                <w:sz w:val="24"/>
              </w:rPr>
            </w:pPr>
          </w:p>
        </w:tc>
        <w:tc>
          <w:tcPr>
            <w:tcW w:w="1296" w:type="dxa"/>
            <w:noWrap/>
            <w:vAlign w:val="center"/>
          </w:tcPr>
          <w:p w14:paraId="5C3F035D">
            <w:pPr>
              <w:spacing w:line="360" w:lineRule="auto"/>
              <w:jc w:val="center"/>
              <w:rPr>
                <w:rFonts w:ascii="仿宋" w:hAnsi="仿宋" w:eastAsia="仿宋" w:cs="仿宋"/>
                <w:b/>
                <w:sz w:val="24"/>
              </w:rPr>
            </w:pPr>
          </w:p>
        </w:tc>
        <w:tc>
          <w:tcPr>
            <w:tcW w:w="907" w:type="dxa"/>
            <w:noWrap/>
            <w:vAlign w:val="center"/>
          </w:tcPr>
          <w:p w14:paraId="14E5DB6E">
            <w:pPr>
              <w:spacing w:line="360" w:lineRule="auto"/>
              <w:jc w:val="center"/>
              <w:rPr>
                <w:rFonts w:ascii="仿宋" w:hAnsi="仿宋" w:eastAsia="仿宋" w:cs="仿宋"/>
                <w:b/>
                <w:sz w:val="24"/>
              </w:rPr>
            </w:pPr>
          </w:p>
        </w:tc>
        <w:tc>
          <w:tcPr>
            <w:tcW w:w="916" w:type="dxa"/>
            <w:noWrap/>
            <w:vAlign w:val="center"/>
          </w:tcPr>
          <w:p w14:paraId="258DC2A1">
            <w:pPr>
              <w:spacing w:line="360" w:lineRule="auto"/>
              <w:jc w:val="center"/>
              <w:rPr>
                <w:rFonts w:ascii="仿宋" w:hAnsi="仿宋" w:eastAsia="仿宋" w:cs="仿宋"/>
                <w:b/>
                <w:sz w:val="24"/>
              </w:rPr>
            </w:pPr>
          </w:p>
        </w:tc>
        <w:tc>
          <w:tcPr>
            <w:tcW w:w="1296" w:type="dxa"/>
            <w:noWrap/>
            <w:vAlign w:val="center"/>
          </w:tcPr>
          <w:p w14:paraId="2C9E6B8C">
            <w:pPr>
              <w:spacing w:line="360" w:lineRule="auto"/>
              <w:jc w:val="center"/>
              <w:rPr>
                <w:rFonts w:ascii="仿宋" w:hAnsi="仿宋" w:eastAsia="仿宋" w:cs="仿宋"/>
                <w:b/>
                <w:sz w:val="24"/>
              </w:rPr>
            </w:pPr>
          </w:p>
        </w:tc>
        <w:tc>
          <w:tcPr>
            <w:tcW w:w="2397" w:type="dxa"/>
            <w:noWrap/>
            <w:vAlign w:val="center"/>
          </w:tcPr>
          <w:p w14:paraId="4507F782">
            <w:pPr>
              <w:spacing w:line="360" w:lineRule="auto"/>
              <w:jc w:val="center"/>
              <w:rPr>
                <w:rFonts w:ascii="仿宋" w:hAnsi="仿宋" w:eastAsia="仿宋" w:cs="仿宋"/>
                <w:b/>
                <w:sz w:val="24"/>
              </w:rPr>
            </w:pPr>
          </w:p>
        </w:tc>
      </w:tr>
      <w:tr w14:paraId="7AD8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0F11C155">
            <w:pPr>
              <w:spacing w:line="360" w:lineRule="auto"/>
              <w:jc w:val="center"/>
              <w:rPr>
                <w:rFonts w:ascii="仿宋" w:hAnsi="仿宋" w:eastAsia="仿宋" w:cs="仿宋"/>
                <w:b/>
                <w:sz w:val="24"/>
              </w:rPr>
            </w:pPr>
          </w:p>
        </w:tc>
        <w:tc>
          <w:tcPr>
            <w:tcW w:w="1069" w:type="dxa"/>
            <w:noWrap/>
            <w:vAlign w:val="center"/>
          </w:tcPr>
          <w:p w14:paraId="042BFAA9">
            <w:pPr>
              <w:spacing w:line="360" w:lineRule="auto"/>
              <w:jc w:val="center"/>
              <w:rPr>
                <w:rFonts w:ascii="仿宋" w:hAnsi="仿宋" w:eastAsia="仿宋" w:cs="仿宋"/>
                <w:b/>
                <w:sz w:val="24"/>
              </w:rPr>
            </w:pPr>
          </w:p>
        </w:tc>
        <w:tc>
          <w:tcPr>
            <w:tcW w:w="915" w:type="dxa"/>
            <w:noWrap/>
            <w:vAlign w:val="center"/>
          </w:tcPr>
          <w:p w14:paraId="57A643CB">
            <w:pPr>
              <w:spacing w:line="360" w:lineRule="auto"/>
              <w:jc w:val="center"/>
              <w:rPr>
                <w:rFonts w:ascii="仿宋" w:hAnsi="仿宋" w:eastAsia="仿宋" w:cs="仿宋"/>
                <w:b/>
                <w:sz w:val="24"/>
              </w:rPr>
            </w:pPr>
          </w:p>
        </w:tc>
        <w:tc>
          <w:tcPr>
            <w:tcW w:w="1296" w:type="dxa"/>
            <w:noWrap/>
            <w:vAlign w:val="center"/>
          </w:tcPr>
          <w:p w14:paraId="59E08783">
            <w:pPr>
              <w:spacing w:line="360" w:lineRule="auto"/>
              <w:jc w:val="center"/>
              <w:rPr>
                <w:rFonts w:ascii="仿宋" w:hAnsi="仿宋" w:eastAsia="仿宋" w:cs="仿宋"/>
                <w:b/>
                <w:sz w:val="24"/>
              </w:rPr>
            </w:pPr>
          </w:p>
        </w:tc>
        <w:tc>
          <w:tcPr>
            <w:tcW w:w="907" w:type="dxa"/>
            <w:noWrap/>
            <w:vAlign w:val="center"/>
          </w:tcPr>
          <w:p w14:paraId="19D223C6">
            <w:pPr>
              <w:spacing w:line="360" w:lineRule="auto"/>
              <w:jc w:val="center"/>
              <w:rPr>
                <w:rFonts w:ascii="仿宋" w:hAnsi="仿宋" w:eastAsia="仿宋" w:cs="仿宋"/>
                <w:b/>
                <w:sz w:val="24"/>
              </w:rPr>
            </w:pPr>
          </w:p>
        </w:tc>
        <w:tc>
          <w:tcPr>
            <w:tcW w:w="916" w:type="dxa"/>
            <w:noWrap/>
            <w:vAlign w:val="center"/>
          </w:tcPr>
          <w:p w14:paraId="6C530399">
            <w:pPr>
              <w:spacing w:line="360" w:lineRule="auto"/>
              <w:jc w:val="center"/>
              <w:rPr>
                <w:rFonts w:ascii="仿宋" w:hAnsi="仿宋" w:eastAsia="仿宋" w:cs="仿宋"/>
                <w:b/>
                <w:sz w:val="24"/>
              </w:rPr>
            </w:pPr>
          </w:p>
        </w:tc>
        <w:tc>
          <w:tcPr>
            <w:tcW w:w="1296" w:type="dxa"/>
            <w:noWrap/>
            <w:vAlign w:val="center"/>
          </w:tcPr>
          <w:p w14:paraId="65514AE2">
            <w:pPr>
              <w:spacing w:line="360" w:lineRule="auto"/>
              <w:jc w:val="center"/>
              <w:rPr>
                <w:rFonts w:ascii="仿宋" w:hAnsi="仿宋" w:eastAsia="仿宋" w:cs="仿宋"/>
                <w:b/>
                <w:sz w:val="24"/>
              </w:rPr>
            </w:pPr>
          </w:p>
        </w:tc>
        <w:tc>
          <w:tcPr>
            <w:tcW w:w="2397" w:type="dxa"/>
            <w:noWrap/>
            <w:vAlign w:val="center"/>
          </w:tcPr>
          <w:p w14:paraId="52E8E521">
            <w:pPr>
              <w:spacing w:line="360" w:lineRule="auto"/>
              <w:jc w:val="center"/>
              <w:rPr>
                <w:rFonts w:ascii="仿宋" w:hAnsi="仿宋" w:eastAsia="仿宋" w:cs="仿宋"/>
                <w:b/>
                <w:sz w:val="24"/>
              </w:rPr>
            </w:pPr>
          </w:p>
        </w:tc>
      </w:tr>
      <w:tr w14:paraId="4D89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23DD54F1">
            <w:pPr>
              <w:spacing w:line="360" w:lineRule="auto"/>
              <w:jc w:val="center"/>
              <w:rPr>
                <w:rFonts w:ascii="仿宋" w:hAnsi="仿宋" w:eastAsia="仿宋" w:cs="仿宋"/>
                <w:b/>
                <w:sz w:val="24"/>
              </w:rPr>
            </w:pPr>
          </w:p>
        </w:tc>
        <w:tc>
          <w:tcPr>
            <w:tcW w:w="1069" w:type="dxa"/>
            <w:noWrap/>
            <w:vAlign w:val="center"/>
          </w:tcPr>
          <w:p w14:paraId="10812438">
            <w:pPr>
              <w:spacing w:line="360" w:lineRule="auto"/>
              <w:jc w:val="center"/>
              <w:rPr>
                <w:rFonts w:ascii="仿宋" w:hAnsi="仿宋" w:eastAsia="仿宋" w:cs="仿宋"/>
                <w:b/>
                <w:sz w:val="24"/>
              </w:rPr>
            </w:pPr>
          </w:p>
        </w:tc>
        <w:tc>
          <w:tcPr>
            <w:tcW w:w="915" w:type="dxa"/>
            <w:noWrap/>
            <w:vAlign w:val="center"/>
          </w:tcPr>
          <w:p w14:paraId="06D51FB9">
            <w:pPr>
              <w:spacing w:line="360" w:lineRule="auto"/>
              <w:jc w:val="center"/>
              <w:rPr>
                <w:rFonts w:ascii="仿宋" w:hAnsi="仿宋" w:eastAsia="仿宋" w:cs="仿宋"/>
                <w:b/>
                <w:sz w:val="24"/>
              </w:rPr>
            </w:pPr>
          </w:p>
        </w:tc>
        <w:tc>
          <w:tcPr>
            <w:tcW w:w="1296" w:type="dxa"/>
            <w:noWrap/>
            <w:vAlign w:val="center"/>
          </w:tcPr>
          <w:p w14:paraId="33922F47">
            <w:pPr>
              <w:spacing w:line="360" w:lineRule="auto"/>
              <w:jc w:val="center"/>
              <w:rPr>
                <w:rFonts w:ascii="仿宋" w:hAnsi="仿宋" w:eastAsia="仿宋" w:cs="仿宋"/>
                <w:b/>
                <w:sz w:val="24"/>
              </w:rPr>
            </w:pPr>
          </w:p>
        </w:tc>
        <w:tc>
          <w:tcPr>
            <w:tcW w:w="907" w:type="dxa"/>
            <w:noWrap/>
            <w:vAlign w:val="center"/>
          </w:tcPr>
          <w:p w14:paraId="111A4F7A">
            <w:pPr>
              <w:spacing w:line="360" w:lineRule="auto"/>
              <w:jc w:val="center"/>
              <w:rPr>
                <w:rFonts w:ascii="仿宋" w:hAnsi="仿宋" w:eastAsia="仿宋" w:cs="仿宋"/>
                <w:b/>
                <w:sz w:val="24"/>
              </w:rPr>
            </w:pPr>
          </w:p>
        </w:tc>
        <w:tc>
          <w:tcPr>
            <w:tcW w:w="916" w:type="dxa"/>
            <w:noWrap/>
            <w:vAlign w:val="center"/>
          </w:tcPr>
          <w:p w14:paraId="565EABC4">
            <w:pPr>
              <w:spacing w:line="360" w:lineRule="auto"/>
              <w:jc w:val="center"/>
              <w:rPr>
                <w:rFonts w:ascii="仿宋" w:hAnsi="仿宋" w:eastAsia="仿宋" w:cs="仿宋"/>
                <w:b/>
                <w:sz w:val="24"/>
              </w:rPr>
            </w:pPr>
          </w:p>
        </w:tc>
        <w:tc>
          <w:tcPr>
            <w:tcW w:w="1296" w:type="dxa"/>
            <w:noWrap/>
            <w:vAlign w:val="center"/>
          </w:tcPr>
          <w:p w14:paraId="319AC482">
            <w:pPr>
              <w:spacing w:line="360" w:lineRule="auto"/>
              <w:jc w:val="center"/>
              <w:rPr>
                <w:rFonts w:ascii="仿宋" w:hAnsi="仿宋" w:eastAsia="仿宋" w:cs="仿宋"/>
                <w:b/>
                <w:sz w:val="24"/>
              </w:rPr>
            </w:pPr>
          </w:p>
        </w:tc>
        <w:tc>
          <w:tcPr>
            <w:tcW w:w="2397" w:type="dxa"/>
            <w:noWrap/>
            <w:vAlign w:val="center"/>
          </w:tcPr>
          <w:p w14:paraId="5A367826">
            <w:pPr>
              <w:spacing w:line="360" w:lineRule="auto"/>
              <w:jc w:val="center"/>
              <w:rPr>
                <w:rFonts w:ascii="仿宋" w:hAnsi="仿宋" w:eastAsia="仿宋" w:cs="仿宋"/>
                <w:b/>
                <w:sz w:val="24"/>
              </w:rPr>
            </w:pPr>
          </w:p>
        </w:tc>
      </w:tr>
      <w:tr w14:paraId="1308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0FA1129F">
            <w:pPr>
              <w:spacing w:line="360" w:lineRule="auto"/>
              <w:jc w:val="center"/>
              <w:rPr>
                <w:rFonts w:ascii="仿宋" w:hAnsi="仿宋" w:eastAsia="仿宋" w:cs="仿宋"/>
                <w:b/>
                <w:sz w:val="24"/>
              </w:rPr>
            </w:pPr>
          </w:p>
        </w:tc>
        <w:tc>
          <w:tcPr>
            <w:tcW w:w="1069" w:type="dxa"/>
            <w:noWrap/>
            <w:vAlign w:val="center"/>
          </w:tcPr>
          <w:p w14:paraId="23F624A8">
            <w:pPr>
              <w:spacing w:line="360" w:lineRule="auto"/>
              <w:jc w:val="center"/>
              <w:rPr>
                <w:rFonts w:ascii="仿宋" w:hAnsi="仿宋" w:eastAsia="仿宋" w:cs="仿宋"/>
                <w:b/>
                <w:sz w:val="24"/>
              </w:rPr>
            </w:pPr>
          </w:p>
        </w:tc>
        <w:tc>
          <w:tcPr>
            <w:tcW w:w="915" w:type="dxa"/>
            <w:noWrap/>
            <w:vAlign w:val="center"/>
          </w:tcPr>
          <w:p w14:paraId="2F1E2CEA">
            <w:pPr>
              <w:spacing w:line="360" w:lineRule="auto"/>
              <w:jc w:val="center"/>
              <w:rPr>
                <w:rFonts w:ascii="仿宋" w:hAnsi="仿宋" w:eastAsia="仿宋" w:cs="仿宋"/>
                <w:b/>
                <w:sz w:val="24"/>
              </w:rPr>
            </w:pPr>
          </w:p>
        </w:tc>
        <w:tc>
          <w:tcPr>
            <w:tcW w:w="1296" w:type="dxa"/>
            <w:noWrap/>
            <w:vAlign w:val="center"/>
          </w:tcPr>
          <w:p w14:paraId="3AA3D630">
            <w:pPr>
              <w:spacing w:line="360" w:lineRule="auto"/>
              <w:jc w:val="center"/>
              <w:rPr>
                <w:rFonts w:ascii="仿宋" w:hAnsi="仿宋" w:eastAsia="仿宋" w:cs="仿宋"/>
                <w:b/>
                <w:sz w:val="24"/>
              </w:rPr>
            </w:pPr>
          </w:p>
        </w:tc>
        <w:tc>
          <w:tcPr>
            <w:tcW w:w="907" w:type="dxa"/>
            <w:noWrap/>
            <w:vAlign w:val="center"/>
          </w:tcPr>
          <w:p w14:paraId="4FBCB236">
            <w:pPr>
              <w:spacing w:line="360" w:lineRule="auto"/>
              <w:jc w:val="center"/>
              <w:rPr>
                <w:rFonts w:ascii="仿宋" w:hAnsi="仿宋" w:eastAsia="仿宋" w:cs="仿宋"/>
                <w:b/>
                <w:sz w:val="24"/>
              </w:rPr>
            </w:pPr>
          </w:p>
        </w:tc>
        <w:tc>
          <w:tcPr>
            <w:tcW w:w="916" w:type="dxa"/>
            <w:noWrap/>
            <w:vAlign w:val="center"/>
          </w:tcPr>
          <w:p w14:paraId="630AAE70">
            <w:pPr>
              <w:spacing w:line="360" w:lineRule="auto"/>
              <w:jc w:val="center"/>
              <w:rPr>
                <w:rFonts w:ascii="仿宋" w:hAnsi="仿宋" w:eastAsia="仿宋" w:cs="仿宋"/>
                <w:b/>
                <w:sz w:val="24"/>
              </w:rPr>
            </w:pPr>
          </w:p>
        </w:tc>
        <w:tc>
          <w:tcPr>
            <w:tcW w:w="1296" w:type="dxa"/>
            <w:noWrap/>
            <w:vAlign w:val="center"/>
          </w:tcPr>
          <w:p w14:paraId="42618411">
            <w:pPr>
              <w:spacing w:line="360" w:lineRule="auto"/>
              <w:jc w:val="center"/>
              <w:rPr>
                <w:rFonts w:ascii="仿宋" w:hAnsi="仿宋" w:eastAsia="仿宋" w:cs="仿宋"/>
                <w:b/>
                <w:sz w:val="24"/>
              </w:rPr>
            </w:pPr>
          </w:p>
        </w:tc>
        <w:tc>
          <w:tcPr>
            <w:tcW w:w="2397" w:type="dxa"/>
            <w:noWrap/>
            <w:vAlign w:val="center"/>
          </w:tcPr>
          <w:p w14:paraId="2493062E">
            <w:pPr>
              <w:spacing w:line="360" w:lineRule="auto"/>
              <w:jc w:val="center"/>
              <w:rPr>
                <w:rFonts w:ascii="仿宋" w:hAnsi="仿宋" w:eastAsia="仿宋" w:cs="仿宋"/>
                <w:b/>
                <w:sz w:val="24"/>
              </w:rPr>
            </w:pPr>
          </w:p>
        </w:tc>
      </w:tr>
      <w:tr w14:paraId="5449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2ED547D2">
            <w:pPr>
              <w:spacing w:line="360" w:lineRule="auto"/>
              <w:jc w:val="center"/>
              <w:rPr>
                <w:rFonts w:ascii="仿宋" w:hAnsi="仿宋" w:eastAsia="仿宋" w:cs="仿宋"/>
                <w:b/>
                <w:sz w:val="24"/>
              </w:rPr>
            </w:pPr>
          </w:p>
        </w:tc>
        <w:tc>
          <w:tcPr>
            <w:tcW w:w="1069" w:type="dxa"/>
            <w:noWrap/>
            <w:vAlign w:val="center"/>
          </w:tcPr>
          <w:p w14:paraId="7E26A103">
            <w:pPr>
              <w:spacing w:line="360" w:lineRule="auto"/>
              <w:jc w:val="center"/>
              <w:rPr>
                <w:rFonts w:ascii="仿宋" w:hAnsi="仿宋" w:eastAsia="仿宋" w:cs="仿宋"/>
                <w:b/>
                <w:sz w:val="24"/>
              </w:rPr>
            </w:pPr>
          </w:p>
        </w:tc>
        <w:tc>
          <w:tcPr>
            <w:tcW w:w="915" w:type="dxa"/>
            <w:noWrap/>
            <w:vAlign w:val="center"/>
          </w:tcPr>
          <w:p w14:paraId="674A4B96">
            <w:pPr>
              <w:spacing w:line="360" w:lineRule="auto"/>
              <w:jc w:val="center"/>
              <w:rPr>
                <w:rFonts w:ascii="仿宋" w:hAnsi="仿宋" w:eastAsia="仿宋" w:cs="仿宋"/>
                <w:b/>
                <w:sz w:val="24"/>
              </w:rPr>
            </w:pPr>
          </w:p>
        </w:tc>
        <w:tc>
          <w:tcPr>
            <w:tcW w:w="1296" w:type="dxa"/>
            <w:noWrap/>
            <w:vAlign w:val="center"/>
          </w:tcPr>
          <w:p w14:paraId="6AC4ADDB">
            <w:pPr>
              <w:spacing w:line="360" w:lineRule="auto"/>
              <w:jc w:val="center"/>
              <w:rPr>
                <w:rFonts w:ascii="仿宋" w:hAnsi="仿宋" w:eastAsia="仿宋" w:cs="仿宋"/>
                <w:b/>
                <w:sz w:val="24"/>
              </w:rPr>
            </w:pPr>
          </w:p>
        </w:tc>
        <w:tc>
          <w:tcPr>
            <w:tcW w:w="907" w:type="dxa"/>
            <w:noWrap/>
            <w:vAlign w:val="center"/>
          </w:tcPr>
          <w:p w14:paraId="72E0A949">
            <w:pPr>
              <w:spacing w:line="360" w:lineRule="auto"/>
              <w:jc w:val="center"/>
              <w:rPr>
                <w:rFonts w:ascii="仿宋" w:hAnsi="仿宋" w:eastAsia="仿宋" w:cs="仿宋"/>
                <w:b/>
                <w:sz w:val="24"/>
              </w:rPr>
            </w:pPr>
          </w:p>
        </w:tc>
        <w:tc>
          <w:tcPr>
            <w:tcW w:w="916" w:type="dxa"/>
            <w:noWrap/>
            <w:vAlign w:val="center"/>
          </w:tcPr>
          <w:p w14:paraId="2B602129">
            <w:pPr>
              <w:spacing w:line="360" w:lineRule="auto"/>
              <w:jc w:val="center"/>
              <w:rPr>
                <w:rFonts w:ascii="仿宋" w:hAnsi="仿宋" w:eastAsia="仿宋" w:cs="仿宋"/>
                <w:b/>
                <w:sz w:val="24"/>
              </w:rPr>
            </w:pPr>
          </w:p>
        </w:tc>
        <w:tc>
          <w:tcPr>
            <w:tcW w:w="1296" w:type="dxa"/>
            <w:noWrap/>
            <w:vAlign w:val="center"/>
          </w:tcPr>
          <w:p w14:paraId="1A251838">
            <w:pPr>
              <w:spacing w:line="360" w:lineRule="auto"/>
              <w:jc w:val="center"/>
              <w:rPr>
                <w:rFonts w:ascii="仿宋" w:hAnsi="仿宋" w:eastAsia="仿宋" w:cs="仿宋"/>
                <w:b/>
                <w:sz w:val="24"/>
              </w:rPr>
            </w:pPr>
          </w:p>
        </w:tc>
        <w:tc>
          <w:tcPr>
            <w:tcW w:w="2397" w:type="dxa"/>
            <w:noWrap/>
            <w:vAlign w:val="center"/>
          </w:tcPr>
          <w:p w14:paraId="21FC21E3">
            <w:pPr>
              <w:spacing w:line="360" w:lineRule="auto"/>
              <w:jc w:val="center"/>
              <w:rPr>
                <w:rFonts w:ascii="仿宋" w:hAnsi="仿宋" w:eastAsia="仿宋" w:cs="仿宋"/>
                <w:b/>
                <w:sz w:val="24"/>
              </w:rPr>
            </w:pPr>
          </w:p>
        </w:tc>
      </w:tr>
      <w:tr w14:paraId="43CF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1CDF6D23">
            <w:pPr>
              <w:spacing w:line="360" w:lineRule="auto"/>
              <w:jc w:val="center"/>
              <w:rPr>
                <w:rFonts w:ascii="仿宋" w:hAnsi="仿宋" w:eastAsia="仿宋" w:cs="仿宋"/>
                <w:b/>
                <w:sz w:val="24"/>
              </w:rPr>
            </w:pPr>
          </w:p>
        </w:tc>
        <w:tc>
          <w:tcPr>
            <w:tcW w:w="1069" w:type="dxa"/>
            <w:noWrap/>
            <w:vAlign w:val="center"/>
          </w:tcPr>
          <w:p w14:paraId="316B3FC1">
            <w:pPr>
              <w:spacing w:line="360" w:lineRule="auto"/>
              <w:jc w:val="center"/>
              <w:rPr>
                <w:rFonts w:ascii="仿宋" w:hAnsi="仿宋" w:eastAsia="仿宋" w:cs="仿宋"/>
                <w:b/>
                <w:sz w:val="24"/>
              </w:rPr>
            </w:pPr>
          </w:p>
        </w:tc>
        <w:tc>
          <w:tcPr>
            <w:tcW w:w="915" w:type="dxa"/>
            <w:noWrap/>
            <w:vAlign w:val="center"/>
          </w:tcPr>
          <w:p w14:paraId="3639A885">
            <w:pPr>
              <w:spacing w:line="360" w:lineRule="auto"/>
              <w:jc w:val="center"/>
              <w:rPr>
                <w:rFonts w:ascii="仿宋" w:hAnsi="仿宋" w:eastAsia="仿宋" w:cs="仿宋"/>
                <w:b/>
                <w:sz w:val="24"/>
              </w:rPr>
            </w:pPr>
          </w:p>
        </w:tc>
        <w:tc>
          <w:tcPr>
            <w:tcW w:w="1296" w:type="dxa"/>
            <w:noWrap/>
            <w:vAlign w:val="center"/>
          </w:tcPr>
          <w:p w14:paraId="7542F1AD">
            <w:pPr>
              <w:spacing w:line="360" w:lineRule="auto"/>
              <w:jc w:val="center"/>
              <w:rPr>
                <w:rFonts w:ascii="仿宋" w:hAnsi="仿宋" w:eastAsia="仿宋" w:cs="仿宋"/>
                <w:b/>
                <w:sz w:val="24"/>
              </w:rPr>
            </w:pPr>
          </w:p>
        </w:tc>
        <w:tc>
          <w:tcPr>
            <w:tcW w:w="907" w:type="dxa"/>
            <w:noWrap/>
            <w:vAlign w:val="center"/>
          </w:tcPr>
          <w:p w14:paraId="496FE078">
            <w:pPr>
              <w:spacing w:line="360" w:lineRule="auto"/>
              <w:jc w:val="center"/>
              <w:rPr>
                <w:rFonts w:ascii="仿宋" w:hAnsi="仿宋" w:eastAsia="仿宋" w:cs="仿宋"/>
                <w:b/>
                <w:sz w:val="24"/>
              </w:rPr>
            </w:pPr>
          </w:p>
        </w:tc>
        <w:tc>
          <w:tcPr>
            <w:tcW w:w="916" w:type="dxa"/>
            <w:noWrap/>
            <w:vAlign w:val="center"/>
          </w:tcPr>
          <w:p w14:paraId="2E1E99E7">
            <w:pPr>
              <w:spacing w:line="360" w:lineRule="auto"/>
              <w:jc w:val="center"/>
              <w:rPr>
                <w:rFonts w:ascii="仿宋" w:hAnsi="仿宋" w:eastAsia="仿宋" w:cs="仿宋"/>
                <w:b/>
                <w:sz w:val="24"/>
              </w:rPr>
            </w:pPr>
          </w:p>
        </w:tc>
        <w:tc>
          <w:tcPr>
            <w:tcW w:w="1296" w:type="dxa"/>
            <w:noWrap/>
            <w:vAlign w:val="center"/>
          </w:tcPr>
          <w:p w14:paraId="18CC414B">
            <w:pPr>
              <w:spacing w:line="360" w:lineRule="auto"/>
              <w:jc w:val="center"/>
              <w:rPr>
                <w:rFonts w:ascii="仿宋" w:hAnsi="仿宋" w:eastAsia="仿宋" w:cs="仿宋"/>
                <w:b/>
                <w:sz w:val="24"/>
              </w:rPr>
            </w:pPr>
          </w:p>
        </w:tc>
        <w:tc>
          <w:tcPr>
            <w:tcW w:w="2397" w:type="dxa"/>
            <w:noWrap/>
            <w:vAlign w:val="center"/>
          </w:tcPr>
          <w:p w14:paraId="3F6673EB">
            <w:pPr>
              <w:spacing w:line="360" w:lineRule="auto"/>
              <w:jc w:val="center"/>
              <w:rPr>
                <w:rFonts w:ascii="仿宋" w:hAnsi="仿宋" w:eastAsia="仿宋" w:cs="仿宋"/>
                <w:b/>
                <w:sz w:val="24"/>
              </w:rPr>
            </w:pPr>
          </w:p>
        </w:tc>
      </w:tr>
      <w:tr w14:paraId="33E9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06C8DBEF">
            <w:pPr>
              <w:spacing w:line="360" w:lineRule="auto"/>
              <w:jc w:val="center"/>
              <w:rPr>
                <w:rFonts w:ascii="仿宋" w:hAnsi="仿宋" w:eastAsia="仿宋" w:cs="仿宋"/>
                <w:b/>
                <w:sz w:val="24"/>
              </w:rPr>
            </w:pPr>
          </w:p>
        </w:tc>
        <w:tc>
          <w:tcPr>
            <w:tcW w:w="1069" w:type="dxa"/>
            <w:noWrap/>
            <w:vAlign w:val="center"/>
          </w:tcPr>
          <w:p w14:paraId="6012C094">
            <w:pPr>
              <w:spacing w:line="360" w:lineRule="auto"/>
              <w:jc w:val="center"/>
              <w:rPr>
                <w:rFonts w:ascii="仿宋" w:hAnsi="仿宋" w:eastAsia="仿宋" w:cs="仿宋"/>
                <w:b/>
                <w:sz w:val="24"/>
              </w:rPr>
            </w:pPr>
          </w:p>
        </w:tc>
        <w:tc>
          <w:tcPr>
            <w:tcW w:w="915" w:type="dxa"/>
            <w:noWrap/>
            <w:vAlign w:val="center"/>
          </w:tcPr>
          <w:p w14:paraId="69941966">
            <w:pPr>
              <w:spacing w:line="360" w:lineRule="auto"/>
              <w:jc w:val="center"/>
              <w:rPr>
                <w:rFonts w:ascii="仿宋" w:hAnsi="仿宋" w:eastAsia="仿宋" w:cs="仿宋"/>
                <w:b/>
                <w:sz w:val="24"/>
              </w:rPr>
            </w:pPr>
          </w:p>
        </w:tc>
        <w:tc>
          <w:tcPr>
            <w:tcW w:w="1296" w:type="dxa"/>
            <w:noWrap/>
            <w:vAlign w:val="center"/>
          </w:tcPr>
          <w:p w14:paraId="4E5A1DCE">
            <w:pPr>
              <w:spacing w:line="360" w:lineRule="auto"/>
              <w:jc w:val="center"/>
              <w:rPr>
                <w:rFonts w:ascii="仿宋" w:hAnsi="仿宋" w:eastAsia="仿宋" w:cs="仿宋"/>
                <w:b/>
                <w:sz w:val="24"/>
              </w:rPr>
            </w:pPr>
          </w:p>
        </w:tc>
        <w:tc>
          <w:tcPr>
            <w:tcW w:w="907" w:type="dxa"/>
            <w:noWrap/>
            <w:vAlign w:val="center"/>
          </w:tcPr>
          <w:p w14:paraId="15DA4C4F">
            <w:pPr>
              <w:spacing w:line="360" w:lineRule="auto"/>
              <w:jc w:val="center"/>
              <w:rPr>
                <w:rFonts w:ascii="仿宋" w:hAnsi="仿宋" w:eastAsia="仿宋" w:cs="仿宋"/>
                <w:b/>
                <w:sz w:val="24"/>
              </w:rPr>
            </w:pPr>
          </w:p>
        </w:tc>
        <w:tc>
          <w:tcPr>
            <w:tcW w:w="916" w:type="dxa"/>
            <w:noWrap/>
            <w:vAlign w:val="center"/>
          </w:tcPr>
          <w:p w14:paraId="5E0FBE51">
            <w:pPr>
              <w:spacing w:line="360" w:lineRule="auto"/>
              <w:jc w:val="center"/>
              <w:rPr>
                <w:rFonts w:ascii="仿宋" w:hAnsi="仿宋" w:eastAsia="仿宋" w:cs="仿宋"/>
                <w:b/>
                <w:sz w:val="24"/>
              </w:rPr>
            </w:pPr>
          </w:p>
        </w:tc>
        <w:tc>
          <w:tcPr>
            <w:tcW w:w="1296" w:type="dxa"/>
            <w:noWrap/>
            <w:vAlign w:val="center"/>
          </w:tcPr>
          <w:p w14:paraId="4B2B223E">
            <w:pPr>
              <w:spacing w:line="360" w:lineRule="auto"/>
              <w:jc w:val="center"/>
              <w:rPr>
                <w:rFonts w:ascii="仿宋" w:hAnsi="仿宋" w:eastAsia="仿宋" w:cs="仿宋"/>
                <w:b/>
                <w:sz w:val="24"/>
              </w:rPr>
            </w:pPr>
          </w:p>
        </w:tc>
        <w:tc>
          <w:tcPr>
            <w:tcW w:w="2397" w:type="dxa"/>
            <w:noWrap/>
            <w:vAlign w:val="center"/>
          </w:tcPr>
          <w:p w14:paraId="6EE8FD1D">
            <w:pPr>
              <w:spacing w:line="360" w:lineRule="auto"/>
              <w:jc w:val="center"/>
              <w:rPr>
                <w:rFonts w:ascii="仿宋" w:hAnsi="仿宋" w:eastAsia="仿宋" w:cs="仿宋"/>
                <w:b/>
                <w:sz w:val="24"/>
              </w:rPr>
            </w:pPr>
          </w:p>
        </w:tc>
      </w:tr>
      <w:tr w14:paraId="7B04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6D5C3D92">
            <w:pPr>
              <w:spacing w:line="360" w:lineRule="auto"/>
              <w:jc w:val="center"/>
              <w:rPr>
                <w:rFonts w:ascii="仿宋" w:hAnsi="仿宋" w:eastAsia="仿宋" w:cs="仿宋"/>
                <w:b/>
                <w:sz w:val="24"/>
              </w:rPr>
            </w:pPr>
          </w:p>
        </w:tc>
        <w:tc>
          <w:tcPr>
            <w:tcW w:w="1069" w:type="dxa"/>
            <w:noWrap/>
            <w:vAlign w:val="center"/>
          </w:tcPr>
          <w:p w14:paraId="58581C4F">
            <w:pPr>
              <w:spacing w:line="360" w:lineRule="auto"/>
              <w:jc w:val="center"/>
              <w:rPr>
                <w:rFonts w:ascii="仿宋" w:hAnsi="仿宋" w:eastAsia="仿宋" w:cs="仿宋"/>
                <w:b/>
                <w:sz w:val="24"/>
              </w:rPr>
            </w:pPr>
          </w:p>
        </w:tc>
        <w:tc>
          <w:tcPr>
            <w:tcW w:w="915" w:type="dxa"/>
            <w:noWrap/>
            <w:vAlign w:val="center"/>
          </w:tcPr>
          <w:p w14:paraId="7CB166FF">
            <w:pPr>
              <w:spacing w:line="360" w:lineRule="auto"/>
              <w:jc w:val="center"/>
              <w:rPr>
                <w:rFonts w:ascii="仿宋" w:hAnsi="仿宋" w:eastAsia="仿宋" w:cs="仿宋"/>
                <w:b/>
                <w:sz w:val="24"/>
              </w:rPr>
            </w:pPr>
          </w:p>
        </w:tc>
        <w:tc>
          <w:tcPr>
            <w:tcW w:w="1296" w:type="dxa"/>
            <w:noWrap/>
            <w:vAlign w:val="center"/>
          </w:tcPr>
          <w:p w14:paraId="57208478">
            <w:pPr>
              <w:spacing w:line="360" w:lineRule="auto"/>
              <w:jc w:val="center"/>
              <w:rPr>
                <w:rFonts w:ascii="仿宋" w:hAnsi="仿宋" w:eastAsia="仿宋" w:cs="仿宋"/>
                <w:b/>
                <w:sz w:val="24"/>
              </w:rPr>
            </w:pPr>
          </w:p>
        </w:tc>
        <w:tc>
          <w:tcPr>
            <w:tcW w:w="907" w:type="dxa"/>
            <w:noWrap/>
            <w:vAlign w:val="center"/>
          </w:tcPr>
          <w:p w14:paraId="16B3E30A">
            <w:pPr>
              <w:spacing w:line="360" w:lineRule="auto"/>
              <w:jc w:val="center"/>
              <w:rPr>
                <w:rFonts w:ascii="仿宋" w:hAnsi="仿宋" w:eastAsia="仿宋" w:cs="仿宋"/>
                <w:b/>
                <w:sz w:val="24"/>
              </w:rPr>
            </w:pPr>
          </w:p>
        </w:tc>
        <w:tc>
          <w:tcPr>
            <w:tcW w:w="916" w:type="dxa"/>
            <w:noWrap/>
            <w:vAlign w:val="center"/>
          </w:tcPr>
          <w:p w14:paraId="28CEFBC9">
            <w:pPr>
              <w:spacing w:line="360" w:lineRule="auto"/>
              <w:jc w:val="center"/>
              <w:rPr>
                <w:rFonts w:ascii="仿宋" w:hAnsi="仿宋" w:eastAsia="仿宋" w:cs="仿宋"/>
                <w:b/>
                <w:sz w:val="24"/>
              </w:rPr>
            </w:pPr>
          </w:p>
        </w:tc>
        <w:tc>
          <w:tcPr>
            <w:tcW w:w="1296" w:type="dxa"/>
            <w:noWrap/>
            <w:vAlign w:val="center"/>
          </w:tcPr>
          <w:p w14:paraId="5678F593">
            <w:pPr>
              <w:spacing w:line="360" w:lineRule="auto"/>
              <w:jc w:val="center"/>
              <w:rPr>
                <w:rFonts w:ascii="仿宋" w:hAnsi="仿宋" w:eastAsia="仿宋" w:cs="仿宋"/>
                <w:b/>
                <w:sz w:val="24"/>
              </w:rPr>
            </w:pPr>
          </w:p>
        </w:tc>
        <w:tc>
          <w:tcPr>
            <w:tcW w:w="2397" w:type="dxa"/>
            <w:noWrap/>
            <w:vAlign w:val="center"/>
          </w:tcPr>
          <w:p w14:paraId="536DEC03">
            <w:pPr>
              <w:spacing w:line="360" w:lineRule="auto"/>
              <w:jc w:val="center"/>
              <w:rPr>
                <w:rFonts w:ascii="仿宋" w:hAnsi="仿宋" w:eastAsia="仿宋" w:cs="仿宋"/>
                <w:b/>
                <w:sz w:val="24"/>
              </w:rPr>
            </w:pPr>
          </w:p>
        </w:tc>
      </w:tr>
      <w:tr w14:paraId="54C1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18C99C62">
            <w:pPr>
              <w:spacing w:line="360" w:lineRule="auto"/>
              <w:jc w:val="center"/>
              <w:rPr>
                <w:rFonts w:ascii="仿宋" w:hAnsi="仿宋" w:eastAsia="仿宋" w:cs="仿宋"/>
                <w:b/>
                <w:sz w:val="24"/>
              </w:rPr>
            </w:pPr>
          </w:p>
        </w:tc>
        <w:tc>
          <w:tcPr>
            <w:tcW w:w="1069" w:type="dxa"/>
            <w:noWrap/>
            <w:vAlign w:val="center"/>
          </w:tcPr>
          <w:p w14:paraId="46D2D94C">
            <w:pPr>
              <w:spacing w:line="360" w:lineRule="auto"/>
              <w:jc w:val="center"/>
              <w:rPr>
                <w:rFonts w:ascii="仿宋" w:hAnsi="仿宋" w:eastAsia="仿宋" w:cs="仿宋"/>
                <w:b/>
                <w:sz w:val="24"/>
              </w:rPr>
            </w:pPr>
          </w:p>
        </w:tc>
        <w:tc>
          <w:tcPr>
            <w:tcW w:w="915" w:type="dxa"/>
            <w:noWrap/>
            <w:vAlign w:val="center"/>
          </w:tcPr>
          <w:p w14:paraId="353E36FB">
            <w:pPr>
              <w:spacing w:line="360" w:lineRule="auto"/>
              <w:jc w:val="center"/>
              <w:rPr>
                <w:rFonts w:ascii="仿宋" w:hAnsi="仿宋" w:eastAsia="仿宋" w:cs="仿宋"/>
                <w:b/>
                <w:sz w:val="24"/>
              </w:rPr>
            </w:pPr>
          </w:p>
        </w:tc>
        <w:tc>
          <w:tcPr>
            <w:tcW w:w="1296" w:type="dxa"/>
            <w:noWrap/>
            <w:vAlign w:val="center"/>
          </w:tcPr>
          <w:p w14:paraId="40AB4279">
            <w:pPr>
              <w:spacing w:line="360" w:lineRule="auto"/>
              <w:jc w:val="center"/>
              <w:rPr>
                <w:rFonts w:ascii="仿宋" w:hAnsi="仿宋" w:eastAsia="仿宋" w:cs="仿宋"/>
                <w:b/>
                <w:sz w:val="24"/>
              </w:rPr>
            </w:pPr>
          </w:p>
        </w:tc>
        <w:tc>
          <w:tcPr>
            <w:tcW w:w="907" w:type="dxa"/>
            <w:noWrap/>
            <w:vAlign w:val="center"/>
          </w:tcPr>
          <w:p w14:paraId="6381917B">
            <w:pPr>
              <w:spacing w:line="360" w:lineRule="auto"/>
              <w:jc w:val="center"/>
              <w:rPr>
                <w:rFonts w:ascii="仿宋" w:hAnsi="仿宋" w:eastAsia="仿宋" w:cs="仿宋"/>
                <w:b/>
                <w:sz w:val="24"/>
              </w:rPr>
            </w:pPr>
          </w:p>
        </w:tc>
        <w:tc>
          <w:tcPr>
            <w:tcW w:w="916" w:type="dxa"/>
            <w:noWrap/>
            <w:vAlign w:val="center"/>
          </w:tcPr>
          <w:p w14:paraId="71A0FCCD">
            <w:pPr>
              <w:spacing w:line="360" w:lineRule="auto"/>
              <w:jc w:val="center"/>
              <w:rPr>
                <w:rFonts w:ascii="仿宋" w:hAnsi="仿宋" w:eastAsia="仿宋" w:cs="仿宋"/>
                <w:b/>
                <w:sz w:val="24"/>
              </w:rPr>
            </w:pPr>
          </w:p>
        </w:tc>
        <w:tc>
          <w:tcPr>
            <w:tcW w:w="1296" w:type="dxa"/>
            <w:noWrap/>
            <w:vAlign w:val="center"/>
          </w:tcPr>
          <w:p w14:paraId="63A2F777">
            <w:pPr>
              <w:spacing w:line="360" w:lineRule="auto"/>
              <w:jc w:val="center"/>
              <w:rPr>
                <w:rFonts w:ascii="仿宋" w:hAnsi="仿宋" w:eastAsia="仿宋" w:cs="仿宋"/>
                <w:b/>
                <w:sz w:val="24"/>
              </w:rPr>
            </w:pPr>
          </w:p>
        </w:tc>
        <w:tc>
          <w:tcPr>
            <w:tcW w:w="2397" w:type="dxa"/>
            <w:noWrap/>
            <w:vAlign w:val="center"/>
          </w:tcPr>
          <w:p w14:paraId="1917DFB2">
            <w:pPr>
              <w:spacing w:line="360" w:lineRule="auto"/>
              <w:jc w:val="center"/>
              <w:rPr>
                <w:rFonts w:ascii="仿宋" w:hAnsi="仿宋" w:eastAsia="仿宋" w:cs="仿宋"/>
                <w:b/>
                <w:sz w:val="24"/>
              </w:rPr>
            </w:pPr>
          </w:p>
        </w:tc>
      </w:tr>
      <w:tr w14:paraId="6A3D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420D16C5">
            <w:pPr>
              <w:spacing w:line="360" w:lineRule="auto"/>
              <w:jc w:val="center"/>
              <w:rPr>
                <w:rFonts w:ascii="仿宋" w:hAnsi="仿宋" w:eastAsia="仿宋" w:cs="仿宋"/>
                <w:b/>
                <w:sz w:val="24"/>
              </w:rPr>
            </w:pPr>
          </w:p>
        </w:tc>
        <w:tc>
          <w:tcPr>
            <w:tcW w:w="1069" w:type="dxa"/>
            <w:noWrap/>
            <w:vAlign w:val="center"/>
          </w:tcPr>
          <w:p w14:paraId="55E2ECA2">
            <w:pPr>
              <w:spacing w:line="360" w:lineRule="auto"/>
              <w:jc w:val="center"/>
              <w:rPr>
                <w:rFonts w:ascii="仿宋" w:hAnsi="仿宋" w:eastAsia="仿宋" w:cs="仿宋"/>
                <w:b/>
                <w:sz w:val="24"/>
              </w:rPr>
            </w:pPr>
          </w:p>
        </w:tc>
        <w:tc>
          <w:tcPr>
            <w:tcW w:w="915" w:type="dxa"/>
            <w:noWrap/>
            <w:vAlign w:val="center"/>
          </w:tcPr>
          <w:p w14:paraId="3F0A5070">
            <w:pPr>
              <w:spacing w:line="360" w:lineRule="auto"/>
              <w:jc w:val="center"/>
              <w:rPr>
                <w:rFonts w:ascii="仿宋" w:hAnsi="仿宋" w:eastAsia="仿宋" w:cs="仿宋"/>
                <w:b/>
                <w:sz w:val="24"/>
              </w:rPr>
            </w:pPr>
          </w:p>
        </w:tc>
        <w:tc>
          <w:tcPr>
            <w:tcW w:w="1296" w:type="dxa"/>
            <w:noWrap/>
            <w:vAlign w:val="center"/>
          </w:tcPr>
          <w:p w14:paraId="159435CD">
            <w:pPr>
              <w:spacing w:line="360" w:lineRule="auto"/>
              <w:jc w:val="center"/>
              <w:rPr>
                <w:rFonts w:ascii="仿宋" w:hAnsi="仿宋" w:eastAsia="仿宋" w:cs="仿宋"/>
                <w:b/>
                <w:sz w:val="24"/>
              </w:rPr>
            </w:pPr>
          </w:p>
        </w:tc>
        <w:tc>
          <w:tcPr>
            <w:tcW w:w="907" w:type="dxa"/>
            <w:noWrap/>
            <w:vAlign w:val="center"/>
          </w:tcPr>
          <w:p w14:paraId="6B8A92DC">
            <w:pPr>
              <w:spacing w:line="360" w:lineRule="auto"/>
              <w:jc w:val="center"/>
              <w:rPr>
                <w:rFonts w:ascii="仿宋" w:hAnsi="仿宋" w:eastAsia="仿宋" w:cs="仿宋"/>
                <w:b/>
                <w:sz w:val="24"/>
              </w:rPr>
            </w:pPr>
          </w:p>
        </w:tc>
        <w:tc>
          <w:tcPr>
            <w:tcW w:w="916" w:type="dxa"/>
            <w:noWrap/>
            <w:vAlign w:val="center"/>
          </w:tcPr>
          <w:p w14:paraId="23536917">
            <w:pPr>
              <w:spacing w:line="360" w:lineRule="auto"/>
              <w:jc w:val="center"/>
              <w:rPr>
                <w:rFonts w:ascii="仿宋" w:hAnsi="仿宋" w:eastAsia="仿宋" w:cs="仿宋"/>
                <w:b/>
                <w:sz w:val="24"/>
              </w:rPr>
            </w:pPr>
          </w:p>
        </w:tc>
        <w:tc>
          <w:tcPr>
            <w:tcW w:w="1296" w:type="dxa"/>
            <w:noWrap/>
            <w:vAlign w:val="center"/>
          </w:tcPr>
          <w:p w14:paraId="3FF6198D">
            <w:pPr>
              <w:spacing w:line="360" w:lineRule="auto"/>
              <w:jc w:val="center"/>
              <w:rPr>
                <w:rFonts w:ascii="仿宋" w:hAnsi="仿宋" w:eastAsia="仿宋" w:cs="仿宋"/>
                <w:b/>
                <w:sz w:val="24"/>
              </w:rPr>
            </w:pPr>
          </w:p>
        </w:tc>
        <w:tc>
          <w:tcPr>
            <w:tcW w:w="2397" w:type="dxa"/>
            <w:noWrap/>
            <w:vAlign w:val="center"/>
          </w:tcPr>
          <w:p w14:paraId="4FBCFD4E">
            <w:pPr>
              <w:spacing w:line="360" w:lineRule="auto"/>
              <w:jc w:val="center"/>
              <w:rPr>
                <w:rFonts w:ascii="仿宋" w:hAnsi="仿宋" w:eastAsia="仿宋" w:cs="仿宋"/>
                <w:b/>
                <w:sz w:val="24"/>
              </w:rPr>
            </w:pPr>
          </w:p>
        </w:tc>
      </w:tr>
      <w:tr w14:paraId="65BA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75215CEF">
            <w:pPr>
              <w:spacing w:line="360" w:lineRule="auto"/>
              <w:jc w:val="center"/>
              <w:rPr>
                <w:rFonts w:ascii="仿宋" w:hAnsi="仿宋" w:eastAsia="仿宋" w:cs="仿宋"/>
                <w:b/>
                <w:sz w:val="24"/>
              </w:rPr>
            </w:pPr>
          </w:p>
        </w:tc>
        <w:tc>
          <w:tcPr>
            <w:tcW w:w="1069" w:type="dxa"/>
            <w:noWrap/>
            <w:vAlign w:val="center"/>
          </w:tcPr>
          <w:p w14:paraId="04C29061">
            <w:pPr>
              <w:spacing w:line="360" w:lineRule="auto"/>
              <w:jc w:val="center"/>
              <w:rPr>
                <w:rFonts w:ascii="仿宋" w:hAnsi="仿宋" w:eastAsia="仿宋" w:cs="仿宋"/>
                <w:b/>
                <w:sz w:val="24"/>
              </w:rPr>
            </w:pPr>
          </w:p>
        </w:tc>
        <w:tc>
          <w:tcPr>
            <w:tcW w:w="915" w:type="dxa"/>
            <w:noWrap/>
            <w:vAlign w:val="center"/>
          </w:tcPr>
          <w:p w14:paraId="38A8F64E">
            <w:pPr>
              <w:spacing w:line="360" w:lineRule="auto"/>
              <w:jc w:val="center"/>
              <w:rPr>
                <w:rFonts w:ascii="仿宋" w:hAnsi="仿宋" w:eastAsia="仿宋" w:cs="仿宋"/>
                <w:b/>
                <w:sz w:val="24"/>
              </w:rPr>
            </w:pPr>
          </w:p>
        </w:tc>
        <w:tc>
          <w:tcPr>
            <w:tcW w:w="1296" w:type="dxa"/>
            <w:noWrap/>
            <w:vAlign w:val="center"/>
          </w:tcPr>
          <w:p w14:paraId="1B63BF12">
            <w:pPr>
              <w:spacing w:line="360" w:lineRule="auto"/>
              <w:jc w:val="center"/>
              <w:rPr>
                <w:rFonts w:ascii="仿宋" w:hAnsi="仿宋" w:eastAsia="仿宋" w:cs="仿宋"/>
                <w:b/>
                <w:sz w:val="24"/>
              </w:rPr>
            </w:pPr>
          </w:p>
        </w:tc>
        <w:tc>
          <w:tcPr>
            <w:tcW w:w="907" w:type="dxa"/>
            <w:noWrap/>
            <w:vAlign w:val="center"/>
          </w:tcPr>
          <w:p w14:paraId="01024923">
            <w:pPr>
              <w:spacing w:line="360" w:lineRule="auto"/>
              <w:jc w:val="center"/>
              <w:rPr>
                <w:rFonts w:ascii="仿宋" w:hAnsi="仿宋" w:eastAsia="仿宋" w:cs="仿宋"/>
                <w:b/>
                <w:sz w:val="24"/>
              </w:rPr>
            </w:pPr>
          </w:p>
        </w:tc>
        <w:tc>
          <w:tcPr>
            <w:tcW w:w="916" w:type="dxa"/>
            <w:noWrap/>
            <w:vAlign w:val="center"/>
          </w:tcPr>
          <w:p w14:paraId="785F94DD">
            <w:pPr>
              <w:spacing w:line="360" w:lineRule="auto"/>
              <w:jc w:val="center"/>
              <w:rPr>
                <w:rFonts w:ascii="仿宋" w:hAnsi="仿宋" w:eastAsia="仿宋" w:cs="仿宋"/>
                <w:b/>
                <w:sz w:val="24"/>
              </w:rPr>
            </w:pPr>
          </w:p>
        </w:tc>
        <w:tc>
          <w:tcPr>
            <w:tcW w:w="1296" w:type="dxa"/>
            <w:noWrap/>
            <w:vAlign w:val="center"/>
          </w:tcPr>
          <w:p w14:paraId="3D8D64CB">
            <w:pPr>
              <w:spacing w:line="360" w:lineRule="auto"/>
              <w:jc w:val="center"/>
              <w:rPr>
                <w:rFonts w:ascii="仿宋" w:hAnsi="仿宋" w:eastAsia="仿宋" w:cs="仿宋"/>
                <w:b/>
                <w:sz w:val="24"/>
              </w:rPr>
            </w:pPr>
          </w:p>
        </w:tc>
        <w:tc>
          <w:tcPr>
            <w:tcW w:w="2397" w:type="dxa"/>
            <w:noWrap/>
            <w:vAlign w:val="center"/>
          </w:tcPr>
          <w:p w14:paraId="01390F7F">
            <w:pPr>
              <w:spacing w:line="360" w:lineRule="auto"/>
              <w:jc w:val="center"/>
              <w:rPr>
                <w:rFonts w:ascii="仿宋" w:hAnsi="仿宋" w:eastAsia="仿宋" w:cs="仿宋"/>
                <w:b/>
                <w:sz w:val="24"/>
              </w:rPr>
            </w:pPr>
          </w:p>
        </w:tc>
      </w:tr>
      <w:tr w14:paraId="7649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noWrap/>
            <w:vAlign w:val="center"/>
          </w:tcPr>
          <w:p w14:paraId="3ADB61D9">
            <w:pPr>
              <w:spacing w:line="360" w:lineRule="auto"/>
              <w:jc w:val="center"/>
              <w:rPr>
                <w:rFonts w:ascii="仿宋" w:hAnsi="仿宋" w:eastAsia="仿宋" w:cs="仿宋"/>
                <w:b/>
                <w:sz w:val="24"/>
              </w:rPr>
            </w:pPr>
          </w:p>
        </w:tc>
        <w:tc>
          <w:tcPr>
            <w:tcW w:w="1069" w:type="dxa"/>
            <w:noWrap/>
            <w:vAlign w:val="center"/>
          </w:tcPr>
          <w:p w14:paraId="6531AF93">
            <w:pPr>
              <w:spacing w:line="360" w:lineRule="auto"/>
              <w:jc w:val="center"/>
              <w:rPr>
                <w:rFonts w:ascii="仿宋" w:hAnsi="仿宋" w:eastAsia="仿宋" w:cs="仿宋"/>
                <w:b/>
                <w:sz w:val="24"/>
              </w:rPr>
            </w:pPr>
          </w:p>
        </w:tc>
        <w:tc>
          <w:tcPr>
            <w:tcW w:w="915" w:type="dxa"/>
            <w:noWrap/>
            <w:vAlign w:val="center"/>
          </w:tcPr>
          <w:p w14:paraId="720F4450">
            <w:pPr>
              <w:spacing w:line="360" w:lineRule="auto"/>
              <w:jc w:val="center"/>
              <w:rPr>
                <w:rFonts w:ascii="仿宋" w:hAnsi="仿宋" w:eastAsia="仿宋" w:cs="仿宋"/>
                <w:b/>
                <w:sz w:val="24"/>
              </w:rPr>
            </w:pPr>
          </w:p>
        </w:tc>
        <w:tc>
          <w:tcPr>
            <w:tcW w:w="1296" w:type="dxa"/>
            <w:noWrap/>
            <w:vAlign w:val="center"/>
          </w:tcPr>
          <w:p w14:paraId="2AAB72AF">
            <w:pPr>
              <w:spacing w:line="360" w:lineRule="auto"/>
              <w:jc w:val="center"/>
              <w:rPr>
                <w:rFonts w:ascii="仿宋" w:hAnsi="仿宋" w:eastAsia="仿宋" w:cs="仿宋"/>
                <w:b/>
                <w:sz w:val="24"/>
              </w:rPr>
            </w:pPr>
          </w:p>
        </w:tc>
        <w:tc>
          <w:tcPr>
            <w:tcW w:w="907" w:type="dxa"/>
            <w:noWrap/>
            <w:vAlign w:val="center"/>
          </w:tcPr>
          <w:p w14:paraId="5758E8AC">
            <w:pPr>
              <w:spacing w:line="360" w:lineRule="auto"/>
              <w:jc w:val="center"/>
              <w:rPr>
                <w:rFonts w:ascii="仿宋" w:hAnsi="仿宋" w:eastAsia="仿宋" w:cs="仿宋"/>
                <w:b/>
                <w:sz w:val="24"/>
              </w:rPr>
            </w:pPr>
          </w:p>
        </w:tc>
        <w:tc>
          <w:tcPr>
            <w:tcW w:w="916" w:type="dxa"/>
            <w:noWrap/>
            <w:vAlign w:val="center"/>
          </w:tcPr>
          <w:p w14:paraId="74EA916D">
            <w:pPr>
              <w:spacing w:line="360" w:lineRule="auto"/>
              <w:jc w:val="center"/>
              <w:rPr>
                <w:rFonts w:ascii="仿宋" w:hAnsi="仿宋" w:eastAsia="仿宋" w:cs="仿宋"/>
                <w:b/>
                <w:sz w:val="24"/>
              </w:rPr>
            </w:pPr>
          </w:p>
        </w:tc>
        <w:tc>
          <w:tcPr>
            <w:tcW w:w="1296" w:type="dxa"/>
            <w:noWrap/>
            <w:vAlign w:val="center"/>
          </w:tcPr>
          <w:p w14:paraId="3A8800FC">
            <w:pPr>
              <w:spacing w:line="360" w:lineRule="auto"/>
              <w:jc w:val="center"/>
              <w:rPr>
                <w:rFonts w:ascii="仿宋" w:hAnsi="仿宋" w:eastAsia="仿宋" w:cs="仿宋"/>
                <w:b/>
                <w:sz w:val="24"/>
              </w:rPr>
            </w:pPr>
          </w:p>
        </w:tc>
        <w:tc>
          <w:tcPr>
            <w:tcW w:w="2397" w:type="dxa"/>
            <w:noWrap/>
            <w:vAlign w:val="center"/>
          </w:tcPr>
          <w:p w14:paraId="4910E757">
            <w:pPr>
              <w:spacing w:line="360" w:lineRule="auto"/>
              <w:jc w:val="center"/>
              <w:rPr>
                <w:rFonts w:ascii="仿宋" w:hAnsi="仿宋" w:eastAsia="仿宋" w:cs="仿宋"/>
                <w:b/>
                <w:sz w:val="24"/>
              </w:rPr>
            </w:pPr>
          </w:p>
        </w:tc>
      </w:tr>
    </w:tbl>
    <w:p w14:paraId="71D8E0B5">
      <w:pPr>
        <w:spacing w:line="360" w:lineRule="auto"/>
        <w:rPr>
          <w:rFonts w:ascii="仿宋" w:hAnsi="仿宋" w:eastAsia="仿宋" w:cs="仿宋"/>
          <w:sz w:val="24"/>
        </w:rPr>
      </w:pPr>
      <w:r>
        <w:rPr>
          <w:rFonts w:hint="eastAsia" w:ascii="仿宋" w:hAnsi="仿宋" w:eastAsia="仿宋" w:cs="仿宋"/>
          <w:sz w:val="24"/>
        </w:rPr>
        <w:t>注：拟派往该项目人员应附身份证或职称证或执业或职业资格证的原件扫描件</w:t>
      </w:r>
    </w:p>
    <w:p w14:paraId="741DE055">
      <w:pPr>
        <w:spacing w:line="360" w:lineRule="auto"/>
        <w:rPr>
          <w:rFonts w:ascii="仿宋" w:hAnsi="仿宋" w:eastAsia="仿宋" w:cs="仿宋"/>
          <w:sz w:val="24"/>
          <w:szCs w:val="24"/>
        </w:rPr>
      </w:pPr>
    </w:p>
    <w:p w14:paraId="7FE09219">
      <w:pPr>
        <w:spacing w:line="360" w:lineRule="auto"/>
        <w:rPr>
          <w:rFonts w:ascii="仿宋" w:hAnsi="仿宋" w:eastAsia="仿宋" w:cs="仿宋"/>
          <w:sz w:val="24"/>
          <w:szCs w:val="24"/>
        </w:rPr>
      </w:pPr>
    </w:p>
    <w:p w14:paraId="7277221B">
      <w:pPr>
        <w:spacing w:line="360" w:lineRule="auto"/>
        <w:rPr>
          <w:rFonts w:ascii="仿宋" w:hAnsi="仿宋" w:eastAsia="仿宋" w:cs="仿宋"/>
          <w:sz w:val="24"/>
          <w:szCs w:val="24"/>
        </w:rPr>
      </w:pPr>
    </w:p>
    <w:p w14:paraId="1731697B">
      <w:pPr>
        <w:spacing w:line="360" w:lineRule="auto"/>
        <w:rPr>
          <w:rFonts w:ascii="仿宋" w:hAnsi="仿宋" w:eastAsia="仿宋" w:cs="仿宋"/>
          <w:sz w:val="24"/>
          <w:szCs w:val="24"/>
        </w:rPr>
      </w:pPr>
    </w:p>
    <w:p w14:paraId="4D6DF7A1">
      <w:pPr>
        <w:spacing w:line="360" w:lineRule="auto"/>
        <w:rPr>
          <w:rFonts w:ascii="仿宋" w:hAnsi="仿宋" w:eastAsia="仿宋" w:cs="仿宋"/>
          <w:b/>
          <w:szCs w:val="21"/>
        </w:rPr>
      </w:pPr>
    </w:p>
    <w:p w14:paraId="176EE362">
      <w:pPr>
        <w:pStyle w:val="3"/>
        <w:numPr>
          <w:ilvl w:val="1"/>
          <w:numId w:val="0"/>
        </w:numPr>
        <w:spacing w:line="360" w:lineRule="auto"/>
        <w:jc w:val="center"/>
        <w:rPr>
          <w:rFonts w:ascii="仿宋" w:hAnsi="仿宋" w:eastAsia="仿宋" w:cs="仿宋"/>
          <w:szCs w:val="32"/>
        </w:rPr>
      </w:pPr>
      <w:bookmarkStart w:id="252" w:name="_Toc510518861"/>
      <w:bookmarkStart w:id="253" w:name="_Toc9539"/>
      <w:r>
        <w:rPr>
          <w:rFonts w:hint="eastAsia" w:ascii="仿宋" w:hAnsi="仿宋" w:eastAsia="仿宋" w:cs="仿宋"/>
          <w:szCs w:val="32"/>
        </w:rPr>
        <w:t>八、信誉情况</w:t>
      </w:r>
      <w:bookmarkEnd w:id="252"/>
      <w:bookmarkEnd w:id="253"/>
    </w:p>
    <w:p w14:paraId="645C9853">
      <w:pPr>
        <w:spacing w:line="360" w:lineRule="auto"/>
        <w:rPr>
          <w:rFonts w:ascii="仿宋" w:hAnsi="仿宋" w:eastAsia="仿宋" w:cs="仿宋"/>
          <w:sz w:val="24"/>
        </w:rPr>
      </w:pPr>
      <w:bookmarkStart w:id="254" w:name="_Toc394062330"/>
      <w:bookmarkStart w:id="255" w:name="_Toc14074"/>
      <w:bookmarkStart w:id="256" w:name="_Toc11246"/>
      <w:r>
        <w:rPr>
          <w:rFonts w:hint="eastAsia" w:ascii="仿宋" w:hAnsi="仿宋" w:eastAsia="仿宋" w:cs="仿宋"/>
          <w:sz w:val="24"/>
        </w:rPr>
        <w:t>1、投标人未处在“信用中国”网站(www.creditchina.gov.cn)查询结果被列为失信被执行人的记录（提供相关证明材料）；</w:t>
      </w:r>
    </w:p>
    <w:p w14:paraId="299033D2">
      <w:pPr>
        <w:spacing w:line="360" w:lineRule="auto"/>
        <w:rPr>
          <w:rFonts w:ascii="仿宋" w:hAnsi="仿宋" w:eastAsia="仿宋" w:cs="仿宋"/>
          <w:sz w:val="24"/>
        </w:rPr>
      </w:pPr>
      <w:r>
        <w:rPr>
          <w:rFonts w:hint="eastAsia" w:ascii="仿宋" w:hAnsi="仿宋" w:eastAsia="仿宋" w:cs="仿宋"/>
          <w:sz w:val="24"/>
        </w:rPr>
        <w:t>2、投标人没有处于被责令停业、投标资格被暂停或取消、财产被接管、冻结、破产等状态；</w:t>
      </w:r>
      <w:r>
        <w:rPr>
          <w:rFonts w:hint="eastAsia" w:ascii="仿宋" w:hAnsi="仿宋" w:eastAsia="仿宋" w:cs="仿宋"/>
          <w:sz w:val="24"/>
          <w:highlight w:val="yellow"/>
        </w:rPr>
        <w:t>2023年至今</w:t>
      </w:r>
      <w:r>
        <w:rPr>
          <w:rFonts w:hint="eastAsia" w:ascii="仿宋" w:hAnsi="仿宋" w:eastAsia="仿宋" w:cs="仿宋"/>
          <w:sz w:val="24"/>
        </w:rPr>
        <w:t>没有骗取中标和严重违约、没有被项目所在地政府或国家部委禁止市场准入等情形；投标人当前未有不良记录（提供承诺或相关证明材料）；</w:t>
      </w:r>
    </w:p>
    <w:p w14:paraId="76005E2A">
      <w:pPr>
        <w:spacing w:line="360" w:lineRule="auto"/>
        <w:rPr>
          <w:rFonts w:ascii="仿宋" w:hAnsi="仿宋" w:eastAsia="仿宋" w:cs="仿宋"/>
          <w:sz w:val="24"/>
        </w:rPr>
      </w:pPr>
      <w:r>
        <w:rPr>
          <w:rFonts w:hint="eastAsia" w:ascii="仿宋" w:hAnsi="仿宋" w:eastAsia="仿宋" w:cs="仿宋"/>
          <w:sz w:val="24"/>
        </w:rPr>
        <w:t>3、中标后，中标人应按《关于印发&lt;昆明市公共资源交易活动中开展行贿犯罪档案查询促进廉洁诚信建设管理规定（试行）&gt;的通知》（昆监管联发【2014】3号）的规定在领取中标通知书时提交由检察机关出具的自本招标公告发布日前三年的行贿犯罪档案查询结果，未提供的，视为放弃中标资格（提供相关证明材料或承诺）</w:t>
      </w:r>
    </w:p>
    <w:p w14:paraId="4D70537A">
      <w:pPr>
        <w:pStyle w:val="3"/>
        <w:numPr>
          <w:ilvl w:val="1"/>
          <w:numId w:val="0"/>
        </w:numPr>
        <w:spacing w:line="360" w:lineRule="auto"/>
        <w:ind w:left="3330"/>
        <w:jc w:val="both"/>
        <w:rPr>
          <w:rFonts w:ascii="仿宋" w:hAnsi="仿宋" w:eastAsia="仿宋" w:cs="仿宋"/>
        </w:rPr>
      </w:pPr>
      <w:r>
        <w:rPr>
          <w:rFonts w:hint="eastAsia" w:ascii="仿宋" w:hAnsi="仿宋" w:eastAsia="仿宋" w:cs="仿宋"/>
        </w:rPr>
        <w:br w:type="page"/>
      </w:r>
      <w:bookmarkEnd w:id="254"/>
      <w:bookmarkEnd w:id="255"/>
      <w:bookmarkEnd w:id="256"/>
      <w:bookmarkStart w:id="257" w:name="_Toc394062332"/>
      <w:bookmarkStart w:id="258" w:name="_Toc20896"/>
      <w:bookmarkStart w:id="259" w:name="_Toc18705"/>
      <w:bookmarkStart w:id="260" w:name="_Toc510518863"/>
      <w:bookmarkStart w:id="261" w:name="_Toc12398"/>
      <w:r>
        <w:rPr>
          <w:rFonts w:hint="eastAsia" w:ascii="仿宋" w:hAnsi="仿宋" w:eastAsia="仿宋" w:cs="仿宋"/>
          <w:szCs w:val="32"/>
        </w:rPr>
        <w:t>九、投标人承诺书</w:t>
      </w:r>
      <w:bookmarkEnd w:id="257"/>
      <w:bookmarkEnd w:id="258"/>
      <w:bookmarkEnd w:id="259"/>
      <w:bookmarkEnd w:id="260"/>
      <w:bookmarkEnd w:id="261"/>
    </w:p>
    <w:p w14:paraId="6BA0BCE6">
      <w:pPr>
        <w:tabs>
          <w:tab w:val="left" w:pos="480"/>
        </w:tabs>
        <w:spacing w:line="360" w:lineRule="auto"/>
        <w:ind w:firstLine="240" w:firstLineChars="100"/>
        <w:rPr>
          <w:rFonts w:ascii="仿宋" w:hAnsi="仿宋" w:eastAsia="仿宋" w:cs="仿宋"/>
          <w:sz w:val="24"/>
          <w:szCs w:val="24"/>
        </w:rPr>
      </w:pPr>
    </w:p>
    <w:p w14:paraId="2DDC8C4F">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本企业参与__________________________项目的投标，现作如下承诺：</w:t>
      </w:r>
    </w:p>
    <w:p w14:paraId="046F21C5">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1、我公司参与此次投标活动所提交的所有资料都是合法、真实、有效的。</w:t>
      </w:r>
    </w:p>
    <w:p w14:paraId="75D9645B">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2、不与其他投标人串通投标、围标，依法、依规公平竞争，不损害招标人或其他投标人的合法权益。</w:t>
      </w:r>
    </w:p>
    <w:p w14:paraId="01804ED2">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3、不转让、出租、出借资质证书、人员岗位证书，不以法律、法规禁止的方式投标。</w:t>
      </w:r>
    </w:p>
    <w:p w14:paraId="238DA8F6">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4、不与招标人或招标代理机构串通投标，不损害国家利益、社会公共利益或其他当事人的合法权益。</w:t>
      </w:r>
    </w:p>
    <w:p w14:paraId="50FDE09D">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5、不向招标人、评标委员会成员、监督人员行贿。</w:t>
      </w:r>
    </w:p>
    <w:p w14:paraId="678871E8">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6、不扰乱昆明市公共资源交易活动正常秩序。</w:t>
      </w:r>
    </w:p>
    <w:p w14:paraId="140BD4DE">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7、不进行虚假恶意投诉。</w:t>
      </w:r>
    </w:p>
    <w:p w14:paraId="29BBB0D4">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8、因违反法律、法规或相关规定被查处的，不干预案件查处。</w:t>
      </w:r>
    </w:p>
    <w:p w14:paraId="67AF9738">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14:paraId="2C89F488">
      <w:pPr>
        <w:tabs>
          <w:tab w:val="left" w:pos="480"/>
        </w:tabs>
        <w:spacing w:line="360" w:lineRule="auto"/>
        <w:ind w:firstLine="240" w:firstLineChars="100"/>
        <w:rPr>
          <w:rFonts w:ascii="仿宋" w:hAnsi="仿宋" w:eastAsia="仿宋" w:cs="仿宋"/>
          <w:sz w:val="24"/>
          <w:szCs w:val="24"/>
        </w:rPr>
      </w:pPr>
    </w:p>
    <w:p w14:paraId="74A62FEC">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投标人：___________________________（盖章）</w:t>
      </w:r>
    </w:p>
    <w:p w14:paraId="71E2672D">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法定代表人或其授权委托人：_________（签字或盖章）</w:t>
      </w:r>
    </w:p>
    <w:p w14:paraId="17A7C8E5">
      <w:pPr>
        <w:tabs>
          <w:tab w:val="left" w:pos="480"/>
        </w:tabs>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________年_____月______日</w:t>
      </w:r>
    </w:p>
    <w:p w14:paraId="614D9E42">
      <w:pPr>
        <w:tabs>
          <w:tab w:val="left" w:pos="480"/>
        </w:tabs>
        <w:spacing w:line="360" w:lineRule="auto"/>
        <w:rPr>
          <w:rFonts w:ascii="仿宋" w:hAnsi="仿宋" w:eastAsia="仿宋" w:cs="仿宋"/>
          <w:sz w:val="24"/>
          <w:szCs w:val="24"/>
        </w:rPr>
      </w:pPr>
    </w:p>
    <w:p w14:paraId="5443DCDD">
      <w:pPr>
        <w:pStyle w:val="3"/>
        <w:numPr>
          <w:ilvl w:val="1"/>
          <w:numId w:val="0"/>
        </w:numPr>
        <w:spacing w:line="360" w:lineRule="auto"/>
        <w:ind w:left="3330"/>
        <w:jc w:val="both"/>
        <w:rPr>
          <w:rFonts w:ascii="仿宋" w:hAnsi="仿宋" w:eastAsia="仿宋" w:cs="仿宋"/>
        </w:rPr>
      </w:pPr>
      <w:bookmarkStart w:id="262" w:name="_Toc21250"/>
      <w:bookmarkStart w:id="263" w:name="_Toc394062333"/>
      <w:bookmarkStart w:id="264" w:name="_Toc16667"/>
      <w:r>
        <w:rPr>
          <w:rFonts w:hint="eastAsia" w:ascii="仿宋" w:hAnsi="仿宋" w:eastAsia="仿宋" w:cs="仿宋"/>
        </w:rPr>
        <w:br w:type="page"/>
      </w:r>
      <w:bookmarkStart w:id="265" w:name="_Toc21720"/>
      <w:bookmarkStart w:id="266" w:name="_Toc510518864"/>
      <w:r>
        <w:rPr>
          <w:rFonts w:hint="eastAsia" w:ascii="仿宋" w:hAnsi="仿宋" w:eastAsia="仿宋" w:cs="仿宋"/>
          <w:szCs w:val="32"/>
        </w:rPr>
        <w:t>十、其他材料</w:t>
      </w:r>
      <w:bookmarkEnd w:id="262"/>
      <w:bookmarkEnd w:id="263"/>
      <w:bookmarkEnd w:id="264"/>
      <w:bookmarkEnd w:id="265"/>
      <w:bookmarkEnd w:id="266"/>
    </w:p>
    <w:p w14:paraId="6627A31D">
      <w:pPr>
        <w:tabs>
          <w:tab w:val="left" w:pos="480"/>
        </w:tabs>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招标文件要求提供的或投标人认为有必要提供的的其他资料。</w:t>
      </w:r>
    </w:p>
    <w:p w14:paraId="3D45DF02"/>
    <w:sectPr>
      <w:pgSz w:w="11906" w:h="16838"/>
      <w:pgMar w:top="1440" w:right="1418" w:bottom="1440"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方正小标宋_GBK">
    <w:altName w:val="Arial Unicode MS"/>
    <w:panose1 w:val="03000502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F32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3379"/>
    </w:sdtPr>
    <w:sdtContent>
      <w:p w14:paraId="7398FE31">
        <w:pPr>
          <w:pStyle w:val="18"/>
          <w:jc w:val="center"/>
        </w:pPr>
        <w:r>
          <w:fldChar w:fldCharType="begin"/>
        </w:r>
        <w:r>
          <w:instrText xml:space="preserve">PAGE   \* MERGEFORMAT</w:instrText>
        </w:r>
        <w:r>
          <w:fldChar w:fldCharType="separate"/>
        </w:r>
        <w:r>
          <w:rPr>
            <w:lang w:val="zh-CN"/>
          </w:rPr>
          <w:t>27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DCA50">
    <w:pPr>
      <w:pStyle w:val="18"/>
      <w:spacing w:beforeLines="50" w:line="360" w:lineRule="auto"/>
      <w:jc w:val="center"/>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49</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4810">
    <w:pPr>
      <w:pStyle w:val="35"/>
      <w:tabs>
        <w:tab w:val="clear" w:pos="6195"/>
      </w:tabs>
      <w:adjustRightInd/>
      <w:spacing w:line="360" w:lineRule="auto"/>
    </w:pPr>
    <w:r>
      <w:rPr>
        <w:rFonts w:hint="eastAsia" w:ascii="仿宋" w:hAnsi="仿宋" w:eastAsia="仿宋" w:cs="仿宋"/>
        <w:color w:val="000000" w:themeColor="text1"/>
        <w:szCs w:val="21"/>
      </w:rPr>
      <w:t>中国科学院昆明植物研究所水资源取水许可证办理服务采购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eastAsia"/>
      </w:rPr>
    </w:lvl>
    <w:lvl w:ilvl="1" w:tentative="0">
      <w:start w:val="1"/>
      <w:numFmt w:val="decimal"/>
      <w:pStyle w:val="3"/>
      <w:lvlText w:val="%2、"/>
      <w:lvlJc w:val="left"/>
      <w:pPr>
        <w:tabs>
          <w:tab w:val="left" w:pos="3690"/>
        </w:tabs>
        <w:ind w:left="3690" w:hanging="360"/>
      </w:pPr>
      <w:rPr>
        <w:rFonts w:hint="eastAsia"/>
      </w:rPr>
    </w:lvl>
    <w:lvl w:ilvl="2" w:tentative="0">
      <w:start w:val="1"/>
      <w:numFmt w:val="decimal"/>
      <w:pStyle w:val="4"/>
      <w:lvlText w:val="%3）"/>
      <w:lvlJc w:val="left"/>
      <w:pPr>
        <w:tabs>
          <w:tab w:val="left" w:pos="1200"/>
        </w:tabs>
        <w:ind w:left="1620" w:hanging="360"/>
      </w:pPr>
      <w:rPr>
        <w:rFonts w:hint="eastAsia"/>
      </w:rPr>
    </w:lvl>
    <w:lvl w:ilvl="3" w:tentative="0">
      <w:start w:val="1"/>
      <w:numFmt w:val="upperLetter"/>
      <w:pStyle w:val="2"/>
      <w:lvlText w:val="%4．"/>
      <w:lvlJc w:val="left"/>
      <w:pPr>
        <w:tabs>
          <w:tab w:val="left" w:pos="1665"/>
        </w:tabs>
        <w:ind w:left="3765" w:hanging="40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B719BA"/>
    <w:multiLevelType w:val="singleLevel"/>
    <w:tmpl w:val="05B719BA"/>
    <w:lvl w:ilvl="0" w:tentative="0">
      <w:start w:val="2"/>
      <w:numFmt w:val="chineseCounting"/>
      <w:suff w:val="space"/>
      <w:lvlText w:val="第%1章"/>
      <w:lvlJc w:val="left"/>
      <w:rPr>
        <w:rFonts w:hint="eastAsia"/>
      </w:rPr>
    </w:lvl>
  </w:abstractNum>
  <w:abstractNum w:abstractNumId="2">
    <w:nsid w:val="339A0B8B"/>
    <w:multiLevelType w:val="singleLevel"/>
    <w:tmpl w:val="339A0B8B"/>
    <w:lvl w:ilvl="0" w:tentative="0">
      <w:start w:val="6"/>
      <w:numFmt w:val="chineseCounting"/>
      <w:suff w:val="nothing"/>
      <w:lvlText w:val="（%1）"/>
      <w:lvlJc w:val="left"/>
      <w:rPr>
        <w:rFonts w:hint="eastAsia"/>
      </w:rPr>
    </w:lvl>
  </w:abstractNum>
  <w:abstractNum w:abstractNumId="3">
    <w:nsid w:val="4D0B63C5"/>
    <w:multiLevelType w:val="multilevel"/>
    <w:tmpl w:val="4D0B63C5"/>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ODg5ODRmOGRkN2E0MzdhNTlkNGI0MjQ5ODc0OGUifQ=="/>
    <w:docVar w:name="KSO_WPS_MARK_KEY" w:val="8a0e16e4-511b-4e81-8e4c-185f8bca80f5"/>
  </w:docVars>
  <w:rsids>
    <w:rsidRoot w:val="5A9F1A90"/>
    <w:rsid w:val="000074FB"/>
    <w:rsid w:val="00015607"/>
    <w:rsid w:val="000201EE"/>
    <w:rsid w:val="00026B84"/>
    <w:rsid w:val="00027669"/>
    <w:rsid w:val="00031937"/>
    <w:rsid w:val="000320FB"/>
    <w:rsid w:val="00032FDB"/>
    <w:rsid w:val="0003740D"/>
    <w:rsid w:val="00041F0C"/>
    <w:rsid w:val="00042D87"/>
    <w:rsid w:val="00045183"/>
    <w:rsid w:val="000561D0"/>
    <w:rsid w:val="00063187"/>
    <w:rsid w:val="000747C7"/>
    <w:rsid w:val="0007772F"/>
    <w:rsid w:val="00092465"/>
    <w:rsid w:val="00097FEE"/>
    <w:rsid w:val="000A4696"/>
    <w:rsid w:val="000B1B93"/>
    <w:rsid w:val="000B5378"/>
    <w:rsid w:val="000B54A7"/>
    <w:rsid w:val="000C6034"/>
    <w:rsid w:val="000D1E26"/>
    <w:rsid w:val="000D1FB6"/>
    <w:rsid w:val="000D22CD"/>
    <w:rsid w:val="000D589F"/>
    <w:rsid w:val="000D787C"/>
    <w:rsid w:val="000E07C0"/>
    <w:rsid w:val="000E5D91"/>
    <w:rsid w:val="001004BE"/>
    <w:rsid w:val="001007FB"/>
    <w:rsid w:val="001043DB"/>
    <w:rsid w:val="00105FA0"/>
    <w:rsid w:val="00112F41"/>
    <w:rsid w:val="001209B7"/>
    <w:rsid w:val="00122EEB"/>
    <w:rsid w:val="00124100"/>
    <w:rsid w:val="00125B86"/>
    <w:rsid w:val="0014111F"/>
    <w:rsid w:val="00142A9F"/>
    <w:rsid w:val="00142B9C"/>
    <w:rsid w:val="00144B31"/>
    <w:rsid w:val="00145656"/>
    <w:rsid w:val="00154E01"/>
    <w:rsid w:val="00156D3D"/>
    <w:rsid w:val="001645DF"/>
    <w:rsid w:val="00172448"/>
    <w:rsid w:val="00176B78"/>
    <w:rsid w:val="00176D9A"/>
    <w:rsid w:val="00177C87"/>
    <w:rsid w:val="00181084"/>
    <w:rsid w:val="00181327"/>
    <w:rsid w:val="00181346"/>
    <w:rsid w:val="00187E4B"/>
    <w:rsid w:val="00194247"/>
    <w:rsid w:val="001A4F65"/>
    <w:rsid w:val="001B2279"/>
    <w:rsid w:val="001B5AC1"/>
    <w:rsid w:val="001B6068"/>
    <w:rsid w:val="001C573A"/>
    <w:rsid w:val="001C63E1"/>
    <w:rsid w:val="001C7F0B"/>
    <w:rsid w:val="001D116A"/>
    <w:rsid w:val="001D7013"/>
    <w:rsid w:val="001E1EAE"/>
    <w:rsid w:val="001E659E"/>
    <w:rsid w:val="001E76EE"/>
    <w:rsid w:val="001F6204"/>
    <w:rsid w:val="001F6C6A"/>
    <w:rsid w:val="002070BF"/>
    <w:rsid w:val="002119AC"/>
    <w:rsid w:val="00217944"/>
    <w:rsid w:val="00217F36"/>
    <w:rsid w:val="002225BF"/>
    <w:rsid w:val="00226695"/>
    <w:rsid w:val="002361B2"/>
    <w:rsid w:val="002378B2"/>
    <w:rsid w:val="00243084"/>
    <w:rsid w:val="00243960"/>
    <w:rsid w:val="002518CB"/>
    <w:rsid w:val="00270701"/>
    <w:rsid w:val="00270992"/>
    <w:rsid w:val="00275BBD"/>
    <w:rsid w:val="00277BA5"/>
    <w:rsid w:val="00280432"/>
    <w:rsid w:val="0028073D"/>
    <w:rsid w:val="002867AE"/>
    <w:rsid w:val="002955A4"/>
    <w:rsid w:val="002A1457"/>
    <w:rsid w:val="002B6569"/>
    <w:rsid w:val="002C10AB"/>
    <w:rsid w:val="002C1B05"/>
    <w:rsid w:val="002C3238"/>
    <w:rsid w:val="002C60E6"/>
    <w:rsid w:val="002C65EB"/>
    <w:rsid w:val="002D2C1F"/>
    <w:rsid w:val="002E1790"/>
    <w:rsid w:val="002E2373"/>
    <w:rsid w:val="002E31BA"/>
    <w:rsid w:val="002E779B"/>
    <w:rsid w:val="002F053E"/>
    <w:rsid w:val="002F3B51"/>
    <w:rsid w:val="002F5635"/>
    <w:rsid w:val="002F7A69"/>
    <w:rsid w:val="003037ED"/>
    <w:rsid w:val="003129D8"/>
    <w:rsid w:val="00312C1C"/>
    <w:rsid w:val="003177E9"/>
    <w:rsid w:val="0032572B"/>
    <w:rsid w:val="00325FC1"/>
    <w:rsid w:val="00326678"/>
    <w:rsid w:val="0033470E"/>
    <w:rsid w:val="00340CAD"/>
    <w:rsid w:val="003464F2"/>
    <w:rsid w:val="003512AC"/>
    <w:rsid w:val="00351DC0"/>
    <w:rsid w:val="00352475"/>
    <w:rsid w:val="00353D84"/>
    <w:rsid w:val="00354410"/>
    <w:rsid w:val="00356B3F"/>
    <w:rsid w:val="003657DA"/>
    <w:rsid w:val="0036587F"/>
    <w:rsid w:val="003722D2"/>
    <w:rsid w:val="0037636B"/>
    <w:rsid w:val="0038210F"/>
    <w:rsid w:val="00383772"/>
    <w:rsid w:val="00383AED"/>
    <w:rsid w:val="0039274F"/>
    <w:rsid w:val="00396E54"/>
    <w:rsid w:val="003A06B9"/>
    <w:rsid w:val="003A2BE3"/>
    <w:rsid w:val="003B1342"/>
    <w:rsid w:val="003B7B92"/>
    <w:rsid w:val="003C1A66"/>
    <w:rsid w:val="003D21DE"/>
    <w:rsid w:val="003E42EB"/>
    <w:rsid w:val="003E7FD8"/>
    <w:rsid w:val="003F3115"/>
    <w:rsid w:val="003F3C0C"/>
    <w:rsid w:val="003F5DF8"/>
    <w:rsid w:val="003F72DF"/>
    <w:rsid w:val="0040468B"/>
    <w:rsid w:val="00417F52"/>
    <w:rsid w:val="004204D6"/>
    <w:rsid w:val="0042332D"/>
    <w:rsid w:val="00423FC8"/>
    <w:rsid w:val="0042434D"/>
    <w:rsid w:val="00424814"/>
    <w:rsid w:val="00424B0F"/>
    <w:rsid w:val="004348EF"/>
    <w:rsid w:val="0044341B"/>
    <w:rsid w:val="004454FD"/>
    <w:rsid w:val="004478E3"/>
    <w:rsid w:val="004539A8"/>
    <w:rsid w:val="00461CFC"/>
    <w:rsid w:val="004659A6"/>
    <w:rsid w:val="00484E3C"/>
    <w:rsid w:val="0048717B"/>
    <w:rsid w:val="004950DC"/>
    <w:rsid w:val="00495594"/>
    <w:rsid w:val="004B0DAD"/>
    <w:rsid w:val="004B1AB6"/>
    <w:rsid w:val="004C7DFC"/>
    <w:rsid w:val="004E3422"/>
    <w:rsid w:val="004E543E"/>
    <w:rsid w:val="004E5B0E"/>
    <w:rsid w:val="004E651D"/>
    <w:rsid w:val="004E79BE"/>
    <w:rsid w:val="004F3D04"/>
    <w:rsid w:val="005027FC"/>
    <w:rsid w:val="0052259E"/>
    <w:rsid w:val="0052302C"/>
    <w:rsid w:val="00523224"/>
    <w:rsid w:val="005272D7"/>
    <w:rsid w:val="0053124E"/>
    <w:rsid w:val="0054044B"/>
    <w:rsid w:val="00545D79"/>
    <w:rsid w:val="00551587"/>
    <w:rsid w:val="00552D73"/>
    <w:rsid w:val="00553A1F"/>
    <w:rsid w:val="00553F21"/>
    <w:rsid w:val="005626FB"/>
    <w:rsid w:val="00572957"/>
    <w:rsid w:val="00582003"/>
    <w:rsid w:val="00585930"/>
    <w:rsid w:val="00587599"/>
    <w:rsid w:val="00587C56"/>
    <w:rsid w:val="00591C0A"/>
    <w:rsid w:val="005929F9"/>
    <w:rsid w:val="00595688"/>
    <w:rsid w:val="005B0F00"/>
    <w:rsid w:val="005B29E2"/>
    <w:rsid w:val="005C2BA6"/>
    <w:rsid w:val="005E23D3"/>
    <w:rsid w:val="00600098"/>
    <w:rsid w:val="00600539"/>
    <w:rsid w:val="006026A6"/>
    <w:rsid w:val="006043EC"/>
    <w:rsid w:val="00614072"/>
    <w:rsid w:val="00617797"/>
    <w:rsid w:val="006228FA"/>
    <w:rsid w:val="00626E2F"/>
    <w:rsid w:val="006339BD"/>
    <w:rsid w:val="00637E54"/>
    <w:rsid w:val="0064291B"/>
    <w:rsid w:val="0064757B"/>
    <w:rsid w:val="0065321E"/>
    <w:rsid w:val="006554EE"/>
    <w:rsid w:val="006811B6"/>
    <w:rsid w:val="00683B55"/>
    <w:rsid w:val="00687C00"/>
    <w:rsid w:val="006A0D34"/>
    <w:rsid w:val="006A58CD"/>
    <w:rsid w:val="006A7BDF"/>
    <w:rsid w:val="006A7D8C"/>
    <w:rsid w:val="006B0593"/>
    <w:rsid w:val="006B078E"/>
    <w:rsid w:val="006B618B"/>
    <w:rsid w:val="006C19C5"/>
    <w:rsid w:val="006C1AE7"/>
    <w:rsid w:val="006C6B0E"/>
    <w:rsid w:val="006C7BB0"/>
    <w:rsid w:val="006D22E5"/>
    <w:rsid w:val="006D764C"/>
    <w:rsid w:val="006E62FA"/>
    <w:rsid w:val="006F66CB"/>
    <w:rsid w:val="007072DE"/>
    <w:rsid w:val="00712C59"/>
    <w:rsid w:val="00716E4C"/>
    <w:rsid w:val="007172ED"/>
    <w:rsid w:val="00721E96"/>
    <w:rsid w:val="007249FA"/>
    <w:rsid w:val="00726C46"/>
    <w:rsid w:val="0073589B"/>
    <w:rsid w:val="00735BAE"/>
    <w:rsid w:val="00743012"/>
    <w:rsid w:val="007467EE"/>
    <w:rsid w:val="0074745C"/>
    <w:rsid w:val="00753541"/>
    <w:rsid w:val="0075552C"/>
    <w:rsid w:val="007613A9"/>
    <w:rsid w:val="00761579"/>
    <w:rsid w:val="00762960"/>
    <w:rsid w:val="00763CCB"/>
    <w:rsid w:val="00766F9C"/>
    <w:rsid w:val="00767CEF"/>
    <w:rsid w:val="00771811"/>
    <w:rsid w:val="00793AEA"/>
    <w:rsid w:val="00793B7A"/>
    <w:rsid w:val="00796F6C"/>
    <w:rsid w:val="007C3D48"/>
    <w:rsid w:val="007D2AC2"/>
    <w:rsid w:val="007E432B"/>
    <w:rsid w:val="007E68FD"/>
    <w:rsid w:val="007F12FE"/>
    <w:rsid w:val="00800B91"/>
    <w:rsid w:val="008103C2"/>
    <w:rsid w:val="00814579"/>
    <w:rsid w:val="00823BBB"/>
    <w:rsid w:val="008300FE"/>
    <w:rsid w:val="00830B0C"/>
    <w:rsid w:val="00832DD1"/>
    <w:rsid w:val="00851AEE"/>
    <w:rsid w:val="008625CA"/>
    <w:rsid w:val="008625E5"/>
    <w:rsid w:val="00862A89"/>
    <w:rsid w:val="008702FD"/>
    <w:rsid w:val="0087312B"/>
    <w:rsid w:val="0088040F"/>
    <w:rsid w:val="0088290B"/>
    <w:rsid w:val="00892604"/>
    <w:rsid w:val="008A26B5"/>
    <w:rsid w:val="008A4ED7"/>
    <w:rsid w:val="008B22D4"/>
    <w:rsid w:val="008C01D0"/>
    <w:rsid w:val="008C4B92"/>
    <w:rsid w:val="008D4453"/>
    <w:rsid w:val="008E4C4E"/>
    <w:rsid w:val="008F352C"/>
    <w:rsid w:val="008F3901"/>
    <w:rsid w:val="008F3C18"/>
    <w:rsid w:val="008F4C59"/>
    <w:rsid w:val="009004E5"/>
    <w:rsid w:val="0090287B"/>
    <w:rsid w:val="009150E9"/>
    <w:rsid w:val="009239D8"/>
    <w:rsid w:val="00926AD3"/>
    <w:rsid w:val="00932FB6"/>
    <w:rsid w:val="0093315E"/>
    <w:rsid w:val="00933419"/>
    <w:rsid w:val="00940331"/>
    <w:rsid w:val="0094367B"/>
    <w:rsid w:val="0094517A"/>
    <w:rsid w:val="00947968"/>
    <w:rsid w:val="009623AA"/>
    <w:rsid w:val="0096632D"/>
    <w:rsid w:val="00967568"/>
    <w:rsid w:val="00972BA9"/>
    <w:rsid w:val="009748F4"/>
    <w:rsid w:val="0098097D"/>
    <w:rsid w:val="0098780C"/>
    <w:rsid w:val="009922DD"/>
    <w:rsid w:val="0099403E"/>
    <w:rsid w:val="009A00C4"/>
    <w:rsid w:val="009A437A"/>
    <w:rsid w:val="009A5DE3"/>
    <w:rsid w:val="009A717E"/>
    <w:rsid w:val="009A729D"/>
    <w:rsid w:val="009B05F9"/>
    <w:rsid w:val="009B2A86"/>
    <w:rsid w:val="009B2FFE"/>
    <w:rsid w:val="009B5232"/>
    <w:rsid w:val="009C15AD"/>
    <w:rsid w:val="009C737C"/>
    <w:rsid w:val="009D1305"/>
    <w:rsid w:val="009D31AC"/>
    <w:rsid w:val="009E12ED"/>
    <w:rsid w:val="009E17C8"/>
    <w:rsid w:val="009E2485"/>
    <w:rsid w:val="009F5B7A"/>
    <w:rsid w:val="00A037D1"/>
    <w:rsid w:val="00A10615"/>
    <w:rsid w:val="00A14EFD"/>
    <w:rsid w:val="00A25BA2"/>
    <w:rsid w:val="00A26172"/>
    <w:rsid w:val="00A30331"/>
    <w:rsid w:val="00A363A0"/>
    <w:rsid w:val="00A37FB0"/>
    <w:rsid w:val="00A42FC1"/>
    <w:rsid w:val="00A445E9"/>
    <w:rsid w:val="00A5615B"/>
    <w:rsid w:val="00A57C2C"/>
    <w:rsid w:val="00A60927"/>
    <w:rsid w:val="00A84012"/>
    <w:rsid w:val="00A8659C"/>
    <w:rsid w:val="00A9044A"/>
    <w:rsid w:val="00A90F15"/>
    <w:rsid w:val="00A95E53"/>
    <w:rsid w:val="00AA04B0"/>
    <w:rsid w:val="00AA3BF4"/>
    <w:rsid w:val="00AA78E2"/>
    <w:rsid w:val="00AB01A9"/>
    <w:rsid w:val="00AB1595"/>
    <w:rsid w:val="00AB6703"/>
    <w:rsid w:val="00AC0809"/>
    <w:rsid w:val="00AC1A1D"/>
    <w:rsid w:val="00AC7333"/>
    <w:rsid w:val="00AD419C"/>
    <w:rsid w:val="00AD6AEC"/>
    <w:rsid w:val="00AE1B42"/>
    <w:rsid w:val="00AE1E28"/>
    <w:rsid w:val="00AE522E"/>
    <w:rsid w:val="00AF3328"/>
    <w:rsid w:val="00B01DAA"/>
    <w:rsid w:val="00B063AC"/>
    <w:rsid w:val="00B3060B"/>
    <w:rsid w:val="00B3640F"/>
    <w:rsid w:val="00B429ED"/>
    <w:rsid w:val="00B51AA5"/>
    <w:rsid w:val="00B527B5"/>
    <w:rsid w:val="00B7034A"/>
    <w:rsid w:val="00B73C9A"/>
    <w:rsid w:val="00B75A46"/>
    <w:rsid w:val="00B76BEC"/>
    <w:rsid w:val="00B833C0"/>
    <w:rsid w:val="00B83943"/>
    <w:rsid w:val="00B92141"/>
    <w:rsid w:val="00B95E80"/>
    <w:rsid w:val="00BA1DB8"/>
    <w:rsid w:val="00BC6F40"/>
    <w:rsid w:val="00BD2581"/>
    <w:rsid w:val="00BD3B4D"/>
    <w:rsid w:val="00BE118A"/>
    <w:rsid w:val="00BE2517"/>
    <w:rsid w:val="00BE3385"/>
    <w:rsid w:val="00BE3AB0"/>
    <w:rsid w:val="00BE7C9C"/>
    <w:rsid w:val="00BF1D31"/>
    <w:rsid w:val="00BF41DA"/>
    <w:rsid w:val="00C12D79"/>
    <w:rsid w:val="00C259A1"/>
    <w:rsid w:val="00C45F87"/>
    <w:rsid w:val="00C46635"/>
    <w:rsid w:val="00C46D3D"/>
    <w:rsid w:val="00C574EC"/>
    <w:rsid w:val="00C670ED"/>
    <w:rsid w:val="00C7138A"/>
    <w:rsid w:val="00C91FC6"/>
    <w:rsid w:val="00C94D07"/>
    <w:rsid w:val="00C976B5"/>
    <w:rsid w:val="00CA3A2A"/>
    <w:rsid w:val="00CA3B75"/>
    <w:rsid w:val="00CA53D5"/>
    <w:rsid w:val="00CA5457"/>
    <w:rsid w:val="00CA6870"/>
    <w:rsid w:val="00CA7197"/>
    <w:rsid w:val="00CB5455"/>
    <w:rsid w:val="00CB5EBC"/>
    <w:rsid w:val="00CC15F4"/>
    <w:rsid w:val="00CC6C8B"/>
    <w:rsid w:val="00CC7BE0"/>
    <w:rsid w:val="00CD6A47"/>
    <w:rsid w:val="00CD700F"/>
    <w:rsid w:val="00CF226D"/>
    <w:rsid w:val="00CF525F"/>
    <w:rsid w:val="00CF7912"/>
    <w:rsid w:val="00D11D92"/>
    <w:rsid w:val="00D14810"/>
    <w:rsid w:val="00D16CEB"/>
    <w:rsid w:val="00D209D8"/>
    <w:rsid w:val="00D21E30"/>
    <w:rsid w:val="00D248A3"/>
    <w:rsid w:val="00D275DF"/>
    <w:rsid w:val="00D30A4D"/>
    <w:rsid w:val="00D34E81"/>
    <w:rsid w:val="00D370D0"/>
    <w:rsid w:val="00D41308"/>
    <w:rsid w:val="00D418C6"/>
    <w:rsid w:val="00D544AB"/>
    <w:rsid w:val="00D54E80"/>
    <w:rsid w:val="00D60977"/>
    <w:rsid w:val="00D60988"/>
    <w:rsid w:val="00D67A4A"/>
    <w:rsid w:val="00D70648"/>
    <w:rsid w:val="00D716EE"/>
    <w:rsid w:val="00D71B4C"/>
    <w:rsid w:val="00D83CAC"/>
    <w:rsid w:val="00DB39A1"/>
    <w:rsid w:val="00DC5C0C"/>
    <w:rsid w:val="00DC7C84"/>
    <w:rsid w:val="00DD20FA"/>
    <w:rsid w:val="00DD6E1C"/>
    <w:rsid w:val="00DE1136"/>
    <w:rsid w:val="00DE140B"/>
    <w:rsid w:val="00DE1473"/>
    <w:rsid w:val="00DE5F16"/>
    <w:rsid w:val="00DF00E8"/>
    <w:rsid w:val="00DF46B6"/>
    <w:rsid w:val="00DF4964"/>
    <w:rsid w:val="00E0081B"/>
    <w:rsid w:val="00E0123F"/>
    <w:rsid w:val="00E035CF"/>
    <w:rsid w:val="00E12F56"/>
    <w:rsid w:val="00E13114"/>
    <w:rsid w:val="00E174C3"/>
    <w:rsid w:val="00E201F4"/>
    <w:rsid w:val="00E21A6F"/>
    <w:rsid w:val="00E240F7"/>
    <w:rsid w:val="00E25DB7"/>
    <w:rsid w:val="00E35131"/>
    <w:rsid w:val="00E4133D"/>
    <w:rsid w:val="00E6339C"/>
    <w:rsid w:val="00E633D6"/>
    <w:rsid w:val="00E64967"/>
    <w:rsid w:val="00E650D2"/>
    <w:rsid w:val="00E70F33"/>
    <w:rsid w:val="00E8266D"/>
    <w:rsid w:val="00E83940"/>
    <w:rsid w:val="00E83C4B"/>
    <w:rsid w:val="00E85222"/>
    <w:rsid w:val="00E94C42"/>
    <w:rsid w:val="00EA0F6B"/>
    <w:rsid w:val="00EA35E0"/>
    <w:rsid w:val="00EA77E2"/>
    <w:rsid w:val="00EC2C7F"/>
    <w:rsid w:val="00EC7707"/>
    <w:rsid w:val="00EC786C"/>
    <w:rsid w:val="00ED13EC"/>
    <w:rsid w:val="00EE09D8"/>
    <w:rsid w:val="00EE3EC4"/>
    <w:rsid w:val="00EF6202"/>
    <w:rsid w:val="00F01DE0"/>
    <w:rsid w:val="00F03302"/>
    <w:rsid w:val="00F06B70"/>
    <w:rsid w:val="00F12623"/>
    <w:rsid w:val="00F14885"/>
    <w:rsid w:val="00F14C20"/>
    <w:rsid w:val="00F16033"/>
    <w:rsid w:val="00F206F5"/>
    <w:rsid w:val="00F26343"/>
    <w:rsid w:val="00F26529"/>
    <w:rsid w:val="00F32608"/>
    <w:rsid w:val="00F352C5"/>
    <w:rsid w:val="00F36984"/>
    <w:rsid w:val="00F4688A"/>
    <w:rsid w:val="00F468D2"/>
    <w:rsid w:val="00F52D17"/>
    <w:rsid w:val="00F54252"/>
    <w:rsid w:val="00F55C74"/>
    <w:rsid w:val="00F647E2"/>
    <w:rsid w:val="00F67BF8"/>
    <w:rsid w:val="00F70C00"/>
    <w:rsid w:val="00F70EC3"/>
    <w:rsid w:val="00F71C8E"/>
    <w:rsid w:val="00F76FE2"/>
    <w:rsid w:val="00F817E8"/>
    <w:rsid w:val="00F818C1"/>
    <w:rsid w:val="00F909E9"/>
    <w:rsid w:val="00F93049"/>
    <w:rsid w:val="00F938D4"/>
    <w:rsid w:val="00F96153"/>
    <w:rsid w:val="00FA3922"/>
    <w:rsid w:val="00FA7E23"/>
    <w:rsid w:val="00FC1DA1"/>
    <w:rsid w:val="00FC3077"/>
    <w:rsid w:val="00FC6C01"/>
    <w:rsid w:val="00FC6C16"/>
    <w:rsid w:val="00FE18C5"/>
    <w:rsid w:val="00FE380E"/>
    <w:rsid w:val="00FE4612"/>
    <w:rsid w:val="00FE5CE0"/>
    <w:rsid w:val="010E623A"/>
    <w:rsid w:val="01160EB2"/>
    <w:rsid w:val="011E6986"/>
    <w:rsid w:val="01580EA0"/>
    <w:rsid w:val="01713AEC"/>
    <w:rsid w:val="018830DC"/>
    <w:rsid w:val="01A0069F"/>
    <w:rsid w:val="01BB6181"/>
    <w:rsid w:val="01BD024B"/>
    <w:rsid w:val="01D353C6"/>
    <w:rsid w:val="01ED6159"/>
    <w:rsid w:val="01FA0086"/>
    <w:rsid w:val="0220495D"/>
    <w:rsid w:val="0220727D"/>
    <w:rsid w:val="023009AF"/>
    <w:rsid w:val="025F3590"/>
    <w:rsid w:val="02806DB9"/>
    <w:rsid w:val="02833A50"/>
    <w:rsid w:val="02965AB2"/>
    <w:rsid w:val="02D2201B"/>
    <w:rsid w:val="02EE089C"/>
    <w:rsid w:val="02FF3C20"/>
    <w:rsid w:val="030A7AA7"/>
    <w:rsid w:val="035F0144"/>
    <w:rsid w:val="03AD6222"/>
    <w:rsid w:val="04163B35"/>
    <w:rsid w:val="043204C3"/>
    <w:rsid w:val="044912B3"/>
    <w:rsid w:val="0478450F"/>
    <w:rsid w:val="049127E6"/>
    <w:rsid w:val="049675CA"/>
    <w:rsid w:val="049908CC"/>
    <w:rsid w:val="04DD0369"/>
    <w:rsid w:val="04DF5483"/>
    <w:rsid w:val="05060BBD"/>
    <w:rsid w:val="05204B83"/>
    <w:rsid w:val="052F3633"/>
    <w:rsid w:val="05584FA1"/>
    <w:rsid w:val="055B6713"/>
    <w:rsid w:val="056A57F8"/>
    <w:rsid w:val="05AD1B88"/>
    <w:rsid w:val="05E61B95"/>
    <w:rsid w:val="05F02086"/>
    <w:rsid w:val="05F75FD0"/>
    <w:rsid w:val="060A0BD9"/>
    <w:rsid w:val="060A269C"/>
    <w:rsid w:val="062A2903"/>
    <w:rsid w:val="065C6084"/>
    <w:rsid w:val="066240AC"/>
    <w:rsid w:val="06AF0E29"/>
    <w:rsid w:val="06B8210F"/>
    <w:rsid w:val="06C37F7F"/>
    <w:rsid w:val="072252AA"/>
    <w:rsid w:val="07475DCD"/>
    <w:rsid w:val="07504BA7"/>
    <w:rsid w:val="078175E1"/>
    <w:rsid w:val="078E36D0"/>
    <w:rsid w:val="07A8625F"/>
    <w:rsid w:val="07F0092B"/>
    <w:rsid w:val="07F14C7D"/>
    <w:rsid w:val="08116223"/>
    <w:rsid w:val="081D08BA"/>
    <w:rsid w:val="08234384"/>
    <w:rsid w:val="082D096B"/>
    <w:rsid w:val="08351B3D"/>
    <w:rsid w:val="08616600"/>
    <w:rsid w:val="08C24E64"/>
    <w:rsid w:val="08C6368D"/>
    <w:rsid w:val="08DD0495"/>
    <w:rsid w:val="08E92648"/>
    <w:rsid w:val="08EA5030"/>
    <w:rsid w:val="0904694B"/>
    <w:rsid w:val="090777E6"/>
    <w:rsid w:val="090B4C61"/>
    <w:rsid w:val="09133ECD"/>
    <w:rsid w:val="093323A4"/>
    <w:rsid w:val="0954687B"/>
    <w:rsid w:val="0980371C"/>
    <w:rsid w:val="09933680"/>
    <w:rsid w:val="09A4689C"/>
    <w:rsid w:val="09AA09F3"/>
    <w:rsid w:val="09E27032"/>
    <w:rsid w:val="09FF5F99"/>
    <w:rsid w:val="0A167618"/>
    <w:rsid w:val="0A3123D3"/>
    <w:rsid w:val="0A5565F9"/>
    <w:rsid w:val="0A7841CA"/>
    <w:rsid w:val="0A86013A"/>
    <w:rsid w:val="0A8927DA"/>
    <w:rsid w:val="0A98167B"/>
    <w:rsid w:val="0AB244ED"/>
    <w:rsid w:val="0AC179C5"/>
    <w:rsid w:val="0AE40E45"/>
    <w:rsid w:val="0AF34E38"/>
    <w:rsid w:val="0AF35879"/>
    <w:rsid w:val="0B43668F"/>
    <w:rsid w:val="0B4E001C"/>
    <w:rsid w:val="0B8B3D5B"/>
    <w:rsid w:val="0BAA4F3E"/>
    <w:rsid w:val="0BC4144B"/>
    <w:rsid w:val="0BFF6E68"/>
    <w:rsid w:val="0C1D1A28"/>
    <w:rsid w:val="0C3F56FC"/>
    <w:rsid w:val="0C471A8F"/>
    <w:rsid w:val="0C4B51E3"/>
    <w:rsid w:val="0C522B09"/>
    <w:rsid w:val="0C5C698C"/>
    <w:rsid w:val="0C61730C"/>
    <w:rsid w:val="0C882F17"/>
    <w:rsid w:val="0CBF46A3"/>
    <w:rsid w:val="0CD43F80"/>
    <w:rsid w:val="0CDB55C9"/>
    <w:rsid w:val="0D223963"/>
    <w:rsid w:val="0D396064"/>
    <w:rsid w:val="0D52665B"/>
    <w:rsid w:val="0D6E1998"/>
    <w:rsid w:val="0D93150A"/>
    <w:rsid w:val="0DDA33A9"/>
    <w:rsid w:val="0DE11F75"/>
    <w:rsid w:val="0DE274B3"/>
    <w:rsid w:val="0DE75394"/>
    <w:rsid w:val="0E4B0190"/>
    <w:rsid w:val="0EF67B6A"/>
    <w:rsid w:val="0F0A20FD"/>
    <w:rsid w:val="0F2450E8"/>
    <w:rsid w:val="0FA0258D"/>
    <w:rsid w:val="0FA84BF3"/>
    <w:rsid w:val="0FB476C7"/>
    <w:rsid w:val="0FB72474"/>
    <w:rsid w:val="0FBA4920"/>
    <w:rsid w:val="0FBE2F77"/>
    <w:rsid w:val="0FFA14C9"/>
    <w:rsid w:val="100A3A81"/>
    <w:rsid w:val="104C52B7"/>
    <w:rsid w:val="10561252"/>
    <w:rsid w:val="108E55E4"/>
    <w:rsid w:val="10BE5C16"/>
    <w:rsid w:val="10D92CE8"/>
    <w:rsid w:val="112F3D99"/>
    <w:rsid w:val="1175598A"/>
    <w:rsid w:val="119D51A7"/>
    <w:rsid w:val="11A94E67"/>
    <w:rsid w:val="11CF536A"/>
    <w:rsid w:val="121230F0"/>
    <w:rsid w:val="122B1943"/>
    <w:rsid w:val="123B5893"/>
    <w:rsid w:val="123E393D"/>
    <w:rsid w:val="12613944"/>
    <w:rsid w:val="126B4874"/>
    <w:rsid w:val="126F44BB"/>
    <w:rsid w:val="127C2BAA"/>
    <w:rsid w:val="128633D3"/>
    <w:rsid w:val="128A21D7"/>
    <w:rsid w:val="12A23FFE"/>
    <w:rsid w:val="12D40004"/>
    <w:rsid w:val="12E67DD9"/>
    <w:rsid w:val="13094F85"/>
    <w:rsid w:val="131B0CF9"/>
    <w:rsid w:val="13384A18"/>
    <w:rsid w:val="136F0872"/>
    <w:rsid w:val="13775D07"/>
    <w:rsid w:val="13875CAF"/>
    <w:rsid w:val="13891EEE"/>
    <w:rsid w:val="13FF7528"/>
    <w:rsid w:val="142339EF"/>
    <w:rsid w:val="142D0867"/>
    <w:rsid w:val="14553BB8"/>
    <w:rsid w:val="14713AC1"/>
    <w:rsid w:val="14B61D35"/>
    <w:rsid w:val="14C8170B"/>
    <w:rsid w:val="14CA650E"/>
    <w:rsid w:val="14CE24D0"/>
    <w:rsid w:val="14FB71AB"/>
    <w:rsid w:val="15457B29"/>
    <w:rsid w:val="1589194C"/>
    <w:rsid w:val="15987424"/>
    <w:rsid w:val="15BE04E8"/>
    <w:rsid w:val="15C947BC"/>
    <w:rsid w:val="16191FEC"/>
    <w:rsid w:val="16323E52"/>
    <w:rsid w:val="16324CB6"/>
    <w:rsid w:val="163441A4"/>
    <w:rsid w:val="16484402"/>
    <w:rsid w:val="16635F97"/>
    <w:rsid w:val="16674D56"/>
    <w:rsid w:val="1693251E"/>
    <w:rsid w:val="169D4D59"/>
    <w:rsid w:val="16D9789C"/>
    <w:rsid w:val="16E2183B"/>
    <w:rsid w:val="16EC6EDB"/>
    <w:rsid w:val="16F566C8"/>
    <w:rsid w:val="170576D4"/>
    <w:rsid w:val="172606C8"/>
    <w:rsid w:val="174F5A5D"/>
    <w:rsid w:val="17745C53"/>
    <w:rsid w:val="17A806FA"/>
    <w:rsid w:val="17AD2B9E"/>
    <w:rsid w:val="18187971"/>
    <w:rsid w:val="1819553E"/>
    <w:rsid w:val="184755B2"/>
    <w:rsid w:val="18875025"/>
    <w:rsid w:val="189F4AA5"/>
    <w:rsid w:val="18BD4D1F"/>
    <w:rsid w:val="18E4310F"/>
    <w:rsid w:val="18F71B74"/>
    <w:rsid w:val="190E2F07"/>
    <w:rsid w:val="19523623"/>
    <w:rsid w:val="19576DBF"/>
    <w:rsid w:val="196813B4"/>
    <w:rsid w:val="1A1D578F"/>
    <w:rsid w:val="1A912FF2"/>
    <w:rsid w:val="1AC22845"/>
    <w:rsid w:val="1AD47B6D"/>
    <w:rsid w:val="1B0D6EFA"/>
    <w:rsid w:val="1B253559"/>
    <w:rsid w:val="1B3B5582"/>
    <w:rsid w:val="1B431107"/>
    <w:rsid w:val="1B5503D5"/>
    <w:rsid w:val="1B6809FE"/>
    <w:rsid w:val="1B772E67"/>
    <w:rsid w:val="1B790D7D"/>
    <w:rsid w:val="1B8130A3"/>
    <w:rsid w:val="1B9975BD"/>
    <w:rsid w:val="1BBB47E0"/>
    <w:rsid w:val="1BC73BEB"/>
    <w:rsid w:val="1BC83285"/>
    <w:rsid w:val="1BE07A92"/>
    <w:rsid w:val="1BFD1C1D"/>
    <w:rsid w:val="1BFD6B01"/>
    <w:rsid w:val="1BFE43A5"/>
    <w:rsid w:val="1C0B09C0"/>
    <w:rsid w:val="1C102C59"/>
    <w:rsid w:val="1C427C25"/>
    <w:rsid w:val="1C6C033E"/>
    <w:rsid w:val="1C83072A"/>
    <w:rsid w:val="1CBB4570"/>
    <w:rsid w:val="1CBC5183"/>
    <w:rsid w:val="1CDE7FCF"/>
    <w:rsid w:val="1CE85436"/>
    <w:rsid w:val="1D111313"/>
    <w:rsid w:val="1D464555"/>
    <w:rsid w:val="1D9919F7"/>
    <w:rsid w:val="1E0148AE"/>
    <w:rsid w:val="1E232653"/>
    <w:rsid w:val="1E310F6F"/>
    <w:rsid w:val="1E3B6D29"/>
    <w:rsid w:val="1E7B2605"/>
    <w:rsid w:val="1EBD5CED"/>
    <w:rsid w:val="1EEE3486"/>
    <w:rsid w:val="1EFF3565"/>
    <w:rsid w:val="1F1D1038"/>
    <w:rsid w:val="1F4C0FCD"/>
    <w:rsid w:val="1F621302"/>
    <w:rsid w:val="1F6E6050"/>
    <w:rsid w:val="1F7F00D9"/>
    <w:rsid w:val="1FDB75C6"/>
    <w:rsid w:val="1FF10E5F"/>
    <w:rsid w:val="1FFC40F5"/>
    <w:rsid w:val="20175237"/>
    <w:rsid w:val="203119C5"/>
    <w:rsid w:val="20401D0C"/>
    <w:rsid w:val="20712EB8"/>
    <w:rsid w:val="208D5446"/>
    <w:rsid w:val="209968CE"/>
    <w:rsid w:val="20BB0C1B"/>
    <w:rsid w:val="20D065C7"/>
    <w:rsid w:val="20D8617F"/>
    <w:rsid w:val="21005C17"/>
    <w:rsid w:val="21217DAA"/>
    <w:rsid w:val="21354809"/>
    <w:rsid w:val="21510C8C"/>
    <w:rsid w:val="21672F1A"/>
    <w:rsid w:val="217B4CEA"/>
    <w:rsid w:val="21891374"/>
    <w:rsid w:val="21962538"/>
    <w:rsid w:val="21A87DB3"/>
    <w:rsid w:val="21C25CB5"/>
    <w:rsid w:val="21DB598D"/>
    <w:rsid w:val="21E903C5"/>
    <w:rsid w:val="21EB73A1"/>
    <w:rsid w:val="21FE4632"/>
    <w:rsid w:val="22105521"/>
    <w:rsid w:val="221739B9"/>
    <w:rsid w:val="221D4960"/>
    <w:rsid w:val="229552D5"/>
    <w:rsid w:val="22981232"/>
    <w:rsid w:val="22C41F87"/>
    <w:rsid w:val="22D95420"/>
    <w:rsid w:val="22FD3048"/>
    <w:rsid w:val="232221CB"/>
    <w:rsid w:val="23896A51"/>
    <w:rsid w:val="238A641C"/>
    <w:rsid w:val="2396714E"/>
    <w:rsid w:val="23B22576"/>
    <w:rsid w:val="242B3E33"/>
    <w:rsid w:val="247A02BF"/>
    <w:rsid w:val="24EE004F"/>
    <w:rsid w:val="253170B3"/>
    <w:rsid w:val="25414548"/>
    <w:rsid w:val="25436687"/>
    <w:rsid w:val="26144719"/>
    <w:rsid w:val="262D00AB"/>
    <w:rsid w:val="26426CF7"/>
    <w:rsid w:val="2662786A"/>
    <w:rsid w:val="266739B9"/>
    <w:rsid w:val="26A00598"/>
    <w:rsid w:val="26A257CA"/>
    <w:rsid w:val="26A51324"/>
    <w:rsid w:val="26FC61F5"/>
    <w:rsid w:val="27352F33"/>
    <w:rsid w:val="2749593D"/>
    <w:rsid w:val="2758038D"/>
    <w:rsid w:val="276C4B4F"/>
    <w:rsid w:val="277C4B19"/>
    <w:rsid w:val="27A2641A"/>
    <w:rsid w:val="27B67E8A"/>
    <w:rsid w:val="27CB403B"/>
    <w:rsid w:val="27EC03BE"/>
    <w:rsid w:val="27F613C1"/>
    <w:rsid w:val="28042793"/>
    <w:rsid w:val="282B4AD0"/>
    <w:rsid w:val="28491E0D"/>
    <w:rsid w:val="28944E33"/>
    <w:rsid w:val="289E1E15"/>
    <w:rsid w:val="28A15B57"/>
    <w:rsid w:val="28BB6C52"/>
    <w:rsid w:val="28D0411A"/>
    <w:rsid w:val="29142937"/>
    <w:rsid w:val="29501B38"/>
    <w:rsid w:val="29761438"/>
    <w:rsid w:val="298644A6"/>
    <w:rsid w:val="29A558B6"/>
    <w:rsid w:val="29D0583F"/>
    <w:rsid w:val="29DE00C6"/>
    <w:rsid w:val="2A144B25"/>
    <w:rsid w:val="2A162247"/>
    <w:rsid w:val="2A216B8D"/>
    <w:rsid w:val="2A4562DE"/>
    <w:rsid w:val="2A6F0488"/>
    <w:rsid w:val="2A9955F6"/>
    <w:rsid w:val="2AD62C8C"/>
    <w:rsid w:val="2B484F97"/>
    <w:rsid w:val="2B4B5F45"/>
    <w:rsid w:val="2B514B72"/>
    <w:rsid w:val="2B627EC9"/>
    <w:rsid w:val="2B7270D0"/>
    <w:rsid w:val="2BB31DFE"/>
    <w:rsid w:val="2BF4352F"/>
    <w:rsid w:val="2C5D0CAC"/>
    <w:rsid w:val="2C7E7077"/>
    <w:rsid w:val="2C8F2057"/>
    <w:rsid w:val="2CF00A7C"/>
    <w:rsid w:val="2D0D47A2"/>
    <w:rsid w:val="2D1F7858"/>
    <w:rsid w:val="2D36681E"/>
    <w:rsid w:val="2D45503F"/>
    <w:rsid w:val="2D587512"/>
    <w:rsid w:val="2D6E6252"/>
    <w:rsid w:val="2DA0006A"/>
    <w:rsid w:val="2DB24A32"/>
    <w:rsid w:val="2E17099C"/>
    <w:rsid w:val="2E2761AC"/>
    <w:rsid w:val="2E515106"/>
    <w:rsid w:val="2E6E1757"/>
    <w:rsid w:val="2ED9664F"/>
    <w:rsid w:val="2EF03FEB"/>
    <w:rsid w:val="2EF922DB"/>
    <w:rsid w:val="2EFA6236"/>
    <w:rsid w:val="2F0D10E5"/>
    <w:rsid w:val="2F0F562F"/>
    <w:rsid w:val="2F3C076B"/>
    <w:rsid w:val="2F4634B2"/>
    <w:rsid w:val="2F4C67D0"/>
    <w:rsid w:val="2F520458"/>
    <w:rsid w:val="2F7B040D"/>
    <w:rsid w:val="2F8B2EE0"/>
    <w:rsid w:val="2FAB5D30"/>
    <w:rsid w:val="2FB44158"/>
    <w:rsid w:val="2FC736C3"/>
    <w:rsid w:val="303232FB"/>
    <w:rsid w:val="30493226"/>
    <w:rsid w:val="30886A19"/>
    <w:rsid w:val="30B0221C"/>
    <w:rsid w:val="30B05875"/>
    <w:rsid w:val="312428D7"/>
    <w:rsid w:val="314F2ED9"/>
    <w:rsid w:val="3199542D"/>
    <w:rsid w:val="31AE50C4"/>
    <w:rsid w:val="31B4495B"/>
    <w:rsid w:val="31CE0FDE"/>
    <w:rsid w:val="31E11C8E"/>
    <w:rsid w:val="31E4745B"/>
    <w:rsid w:val="31ED3003"/>
    <w:rsid w:val="31F75D04"/>
    <w:rsid w:val="31F87D0A"/>
    <w:rsid w:val="31FD4CCC"/>
    <w:rsid w:val="323275BD"/>
    <w:rsid w:val="324F3989"/>
    <w:rsid w:val="32587618"/>
    <w:rsid w:val="326351F9"/>
    <w:rsid w:val="32D07BDF"/>
    <w:rsid w:val="32DD7124"/>
    <w:rsid w:val="32E510EC"/>
    <w:rsid w:val="32E76592"/>
    <w:rsid w:val="33202A4B"/>
    <w:rsid w:val="332F7B3A"/>
    <w:rsid w:val="333F7953"/>
    <w:rsid w:val="337135D8"/>
    <w:rsid w:val="338C7620"/>
    <w:rsid w:val="33B71CA0"/>
    <w:rsid w:val="340809DC"/>
    <w:rsid w:val="34191981"/>
    <w:rsid w:val="344C73FC"/>
    <w:rsid w:val="34F52529"/>
    <w:rsid w:val="351D3DE4"/>
    <w:rsid w:val="35225184"/>
    <w:rsid w:val="35231BEB"/>
    <w:rsid w:val="35381F6B"/>
    <w:rsid w:val="3543020D"/>
    <w:rsid w:val="354410AB"/>
    <w:rsid w:val="35680141"/>
    <w:rsid w:val="35976FF7"/>
    <w:rsid w:val="35BB33B6"/>
    <w:rsid w:val="363A44E8"/>
    <w:rsid w:val="364C1E4B"/>
    <w:rsid w:val="36944483"/>
    <w:rsid w:val="36A72F98"/>
    <w:rsid w:val="36E43F10"/>
    <w:rsid w:val="36F17D17"/>
    <w:rsid w:val="36F84C70"/>
    <w:rsid w:val="37107DC1"/>
    <w:rsid w:val="37136056"/>
    <w:rsid w:val="37211463"/>
    <w:rsid w:val="373778DE"/>
    <w:rsid w:val="373E5524"/>
    <w:rsid w:val="37473D97"/>
    <w:rsid w:val="378C3828"/>
    <w:rsid w:val="378E2D18"/>
    <w:rsid w:val="37936A6E"/>
    <w:rsid w:val="37A43D67"/>
    <w:rsid w:val="37AB1BC8"/>
    <w:rsid w:val="37BD1671"/>
    <w:rsid w:val="37C27821"/>
    <w:rsid w:val="37E67F65"/>
    <w:rsid w:val="37F1773C"/>
    <w:rsid w:val="38363CC2"/>
    <w:rsid w:val="3840755B"/>
    <w:rsid w:val="385114B7"/>
    <w:rsid w:val="385C6C0F"/>
    <w:rsid w:val="38767CE7"/>
    <w:rsid w:val="389C1D64"/>
    <w:rsid w:val="38B17E27"/>
    <w:rsid w:val="38B461C7"/>
    <w:rsid w:val="38BB7D22"/>
    <w:rsid w:val="38BD36D6"/>
    <w:rsid w:val="38C92C2B"/>
    <w:rsid w:val="39401EAE"/>
    <w:rsid w:val="394A0E42"/>
    <w:rsid w:val="396F3C5E"/>
    <w:rsid w:val="39763BD8"/>
    <w:rsid w:val="39CF610F"/>
    <w:rsid w:val="39F43419"/>
    <w:rsid w:val="3A251675"/>
    <w:rsid w:val="3A25618C"/>
    <w:rsid w:val="3A36549A"/>
    <w:rsid w:val="3A6E522A"/>
    <w:rsid w:val="3A8D3D98"/>
    <w:rsid w:val="3AC35AE5"/>
    <w:rsid w:val="3AE738BD"/>
    <w:rsid w:val="3B0357CB"/>
    <w:rsid w:val="3B4228B1"/>
    <w:rsid w:val="3B4D3B2A"/>
    <w:rsid w:val="3B660D96"/>
    <w:rsid w:val="3B6A2E5A"/>
    <w:rsid w:val="3B6F1DB1"/>
    <w:rsid w:val="3B813CCA"/>
    <w:rsid w:val="3BC341A7"/>
    <w:rsid w:val="3BC36A20"/>
    <w:rsid w:val="3BE97F9E"/>
    <w:rsid w:val="3C13743A"/>
    <w:rsid w:val="3C281CEC"/>
    <w:rsid w:val="3C774751"/>
    <w:rsid w:val="3C8535AB"/>
    <w:rsid w:val="3C936241"/>
    <w:rsid w:val="3CF7123A"/>
    <w:rsid w:val="3D0F4BC4"/>
    <w:rsid w:val="3D605037"/>
    <w:rsid w:val="3D6577C8"/>
    <w:rsid w:val="3D7B27AD"/>
    <w:rsid w:val="3D90441E"/>
    <w:rsid w:val="3DAA6283"/>
    <w:rsid w:val="3DAD1176"/>
    <w:rsid w:val="3DAF72E0"/>
    <w:rsid w:val="3DBE29AA"/>
    <w:rsid w:val="3DD0539C"/>
    <w:rsid w:val="3DD21ED8"/>
    <w:rsid w:val="3DDA12C4"/>
    <w:rsid w:val="3DDA14DE"/>
    <w:rsid w:val="3DDC66B3"/>
    <w:rsid w:val="3E1F163F"/>
    <w:rsid w:val="3E623A92"/>
    <w:rsid w:val="3E774506"/>
    <w:rsid w:val="3E8C7BDE"/>
    <w:rsid w:val="3F7B279D"/>
    <w:rsid w:val="3FA63611"/>
    <w:rsid w:val="3FF47D1A"/>
    <w:rsid w:val="40023EB2"/>
    <w:rsid w:val="405347B9"/>
    <w:rsid w:val="408C2F23"/>
    <w:rsid w:val="40971CA9"/>
    <w:rsid w:val="40D3113B"/>
    <w:rsid w:val="40E06247"/>
    <w:rsid w:val="40EB55DD"/>
    <w:rsid w:val="41054A3B"/>
    <w:rsid w:val="410C753E"/>
    <w:rsid w:val="411E576E"/>
    <w:rsid w:val="41220333"/>
    <w:rsid w:val="413D0A55"/>
    <w:rsid w:val="415062B4"/>
    <w:rsid w:val="418C0124"/>
    <w:rsid w:val="41D8043A"/>
    <w:rsid w:val="41FC7B39"/>
    <w:rsid w:val="41FC7E22"/>
    <w:rsid w:val="423074EC"/>
    <w:rsid w:val="42586D15"/>
    <w:rsid w:val="426261CA"/>
    <w:rsid w:val="429C0F41"/>
    <w:rsid w:val="42E0440D"/>
    <w:rsid w:val="43554354"/>
    <w:rsid w:val="438133CE"/>
    <w:rsid w:val="43940819"/>
    <w:rsid w:val="43AD6B39"/>
    <w:rsid w:val="43BE309F"/>
    <w:rsid w:val="43BF773D"/>
    <w:rsid w:val="43C90860"/>
    <w:rsid w:val="4408339B"/>
    <w:rsid w:val="44411149"/>
    <w:rsid w:val="448E2AE1"/>
    <w:rsid w:val="44BE462F"/>
    <w:rsid w:val="44C61667"/>
    <w:rsid w:val="44DD11D9"/>
    <w:rsid w:val="44F45A8A"/>
    <w:rsid w:val="452B604A"/>
    <w:rsid w:val="45520C9A"/>
    <w:rsid w:val="4568104C"/>
    <w:rsid w:val="4574273D"/>
    <w:rsid w:val="45863F02"/>
    <w:rsid w:val="46252A77"/>
    <w:rsid w:val="463D7D1A"/>
    <w:rsid w:val="46486C19"/>
    <w:rsid w:val="4674760F"/>
    <w:rsid w:val="4697564B"/>
    <w:rsid w:val="46A15291"/>
    <w:rsid w:val="46A4486F"/>
    <w:rsid w:val="46DF58F5"/>
    <w:rsid w:val="46FC7915"/>
    <w:rsid w:val="4747012F"/>
    <w:rsid w:val="47754A9F"/>
    <w:rsid w:val="477C6293"/>
    <w:rsid w:val="47C57FE4"/>
    <w:rsid w:val="47EB5451"/>
    <w:rsid w:val="4827448A"/>
    <w:rsid w:val="485B15A7"/>
    <w:rsid w:val="487B3CD0"/>
    <w:rsid w:val="48811798"/>
    <w:rsid w:val="4883485A"/>
    <w:rsid w:val="48886256"/>
    <w:rsid w:val="48943F06"/>
    <w:rsid w:val="48AA4AF6"/>
    <w:rsid w:val="48C74307"/>
    <w:rsid w:val="48E06858"/>
    <w:rsid w:val="48EF5859"/>
    <w:rsid w:val="493B1510"/>
    <w:rsid w:val="49466198"/>
    <w:rsid w:val="499B0863"/>
    <w:rsid w:val="49E869EB"/>
    <w:rsid w:val="49EB7E37"/>
    <w:rsid w:val="49FD13A8"/>
    <w:rsid w:val="4A1C3B83"/>
    <w:rsid w:val="4A590170"/>
    <w:rsid w:val="4AC27AEF"/>
    <w:rsid w:val="4B0261D2"/>
    <w:rsid w:val="4B2D18A9"/>
    <w:rsid w:val="4B2F7817"/>
    <w:rsid w:val="4B317BBE"/>
    <w:rsid w:val="4B682E7A"/>
    <w:rsid w:val="4B9204C2"/>
    <w:rsid w:val="4BE65EF5"/>
    <w:rsid w:val="4C182A6D"/>
    <w:rsid w:val="4C1E045D"/>
    <w:rsid w:val="4D104EE7"/>
    <w:rsid w:val="4D1F0907"/>
    <w:rsid w:val="4D371643"/>
    <w:rsid w:val="4D4F02E2"/>
    <w:rsid w:val="4D500EB7"/>
    <w:rsid w:val="4D666163"/>
    <w:rsid w:val="4D7969DE"/>
    <w:rsid w:val="4D7E5C68"/>
    <w:rsid w:val="4D8239DE"/>
    <w:rsid w:val="4DAD7356"/>
    <w:rsid w:val="4DB4585B"/>
    <w:rsid w:val="4DD11DE8"/>
    <w:rsid w:val="4DEC5A6D"/>
    <w:rsid w:val="4E0D5091"/>
    <w:rsid w:val="4E2B3297"/>
    <w:rsid w:val="4F177760"/>
    <w:rsid w:val="4F8E7E62"/>
    <w:rsid w:val="4F921CBD"/>
    <w:rsid w:val="4FAA2F2F"/>
    <w:rsid w:val="4FAC33D0"/>
    <w:rsid w:val="4FD47174"/>
    <w:rsid w:val="4FD62A3B"/>
    <w:rsid w:val="4FE05B0F"/>
    <w:rsid w:val="4FFC62DF"/>
    <w:rsid w:val="501667C6"/>
    <w:rsid w:val="5060679E"/>
    <w:rsid w:val="507E6C37"/>
    <w:rsid w:val="50885BA3"/>
    <w:rsid w:val="508B4AD7"/>
    <w:rsid w:val="50BA3617"/>
    <w:rsid w:val="510A1C3F"/>
    <w:rsid w:val="512D4B14"/>
    <w:rsid w:val="513272EA"/>
    <w:rsid w:val="513E0311"/>
    <w:rsid w:val="51721AD5"/>
    <w:rsid w:val="518313E2"/>
    <w:rsid w:val="51BD63DE"/>
    <w:rsid w:val="51C82715"/>
    <w:rsid w:val="522C77A6"/>
    <w:rsid w:val="523468BF"/>
    <w:rsid w:val="52674E4A"/>
    <w:rsid w:val="528648C0"/>
    <w:rsid w:val="52942457"/>
    <w:rsid w:val="52C4684D"/>
    <w:rsid w:val="52DD33E6"/>
    <w:rsid w:val="52E571EC"/>
    <w:rsid w:val="52EF3867"/>
    <w:rsid w:val="53082D0D"/>
    <w:rsid w:val="5313158C"/>
    <w:rsid w:val="53151B81"/>
    <w:rsid w:val="535273C6"/>
    <w:rsid w:val="53731D96"/>
    <w:rsid w:val="53751540"/>
    <w:rsid w:val="53883F06"/>
    <w:rsid w:val="53AE46ED"/>
    <w:rsid w:val="53AF255B"/>
    <w:rsid w:val="53B17B53"/>
    <w:rsid w:val="53D2211A"/>
    <w:rsid w:val="53D25135"/>
    <w:rsid w:val="53E9774E"/>
    <w:rsid w:val="541B7B84"/>
    <w:rsid w:val="546D004D"/>
    <w:rsid w:val="54764C81"/>
    <w:rsid w:val="54886790"/>
    <w:rsid w:val="548B0531"/>
    <w:rsid w:val="549554E4"/>
    <w:rsid w:val="54991537"/>
    <w:rsid w:val="54AE4184"/>
    <w:rsid w:val="54F11509"/>
    <w:rsid w:val="54FC7B66"/>
    <w:rsid w:val="54FD1974"/>
    <w:rsid w:val="55273807"/>
    <w:rsid w:val="55531957"/>
    <w:rsid w:val="557B3FD0"/>
    <w:rsid w:val="557C5AE1"/>
    <w:rsid w:val="55843502"/>
    <w:rsid w:val="55A70B90"/>
    <w:rsid w:val="55B530B6"/>
    <w:rsid w:val="56260615"/>
    <w:rsid w:val="564E7CC6"/>
    <w:rsid w:val="56905D0D"/>
    <w:rsid w:val="569221B7"/>
    <w:rsid w:val="571C5CFD"/>
    <w:rsid w:val="571D2652"/>
    <w:rsid w:val="5720186E"/>
    <w:rsid w:val="573C4515"/>
    <w:rsid w:val="57491710"/>
    <w:rsid w:val="575B7E6D"/>
    <w:rsid w:val="57701C5D"/>
    <w:rsid w:val="57924C13"/>
    <w:rsid w:val="57AC4DC9"/>
    <w:rsid w:val="57F85D19"/>
    <w:rsid w:val="57FA3DB4"/>
    <w:rsid w:val="583350AA"/>
    <w:rsid w:val="58671369"/>
    <w:rsid w:val="58B94FE7"/>
    <w:rsid w:val="58EE3C97"/>
    <w:rsid w:val="597746B4"/>
    <w:rsid w:val="597C4419"/>
    <w:rsid w:val="599F0CFA"/>
    <w:rsid w:val="59A3044D"/>
    <w:rsid w:val="59DC4A87"/>
    <w:rsid w:val="59DE4FE1"/>
    <w:rsid w:val="59DE7BF3"/>
    <w:rsid w:val="59EE2AC7"/>
    <w:rsid w:val="5A4B11E2"/>
    <w:rsid w:val="5A641261"/>
    <w:rsid w:val="5A7A7207"/>
    <w:rsid w:val="5A9F1A90"/>
    <w:rsid w:val="5ADD2D92"/>
    <w:rsid w:val="5AF63FFC"/>
    <w:rsid w:val="5AF81CBB"/>
    <w:rsid w:val="5B152C76"/>
    <w:rsid w:val="5B3B30F5"/>
    <w:rsid w:val="5B415367"/>
    <w:rsid w:val="5BAA6E0E"/>
    <w:rsid w:val="5BB158F4"/>
    <w:rsid w:val="5BD075AD"/>
    <w:rsid w:val="5BEA0DF8"/>
    <w:rsid w:val="5C1410BB"/>
    <w:rsid w:val="5C345BC7"/>
    <w:rsid w:val="5C631650"/>
    <w:rsid w:val="5C724CB4"/>
    <w:rsid w:val="5CD4370E"/>
    <w:rsid w:val="5CD85E8D"/>
    <w:rsid w:val="5D0C08FA"/>
    <w:rsid w:val="5D271957"/>
    <w:rsid w:val="5D5B7F06"/>
    <w:rsid w:val="5D653801"/>
    <w:rsid w:val="5DA74AAB"/>
    <w:rsid w:val="5DC66D4C"/>
    <w:rsid w:val="5DF45113"/>
    <w:rsid w:val="5E4B73B4"/>
    <w:rsid w:val="5E5019F1"/>
    <w:rsid w:val="5E571B66"/>
    <w:rsid w:val="5EA20B74"/>
    <w:rsid w:val="5F5D00E7"/>
    <w:rsid w:val="5F66161F"/>
    <w:rsid w:val="5F7A59BB"/>
    <w:rsid w:val="5FF45426"/>
    <w:rsid w:val="60215F29"/>
    <w:rsid w:val="602B72C8"/>
    <w:rsid w:val="60392794"/>
    <w:rsid w:val="603974CF"/>
    <w:rsid w:val="605B404F"/>
    <w:rsid w:val="6067779A"/>
    <w:rsid w:val="607F5EB6"/>
    <w:rsid w:val="60A40247"/>
    <w:rsid w:val="60B77281"/>
    <w:rsid w:val="60B85664"/>
    <w:rsid w:val="60C54604"/>
    <w:rsid w:val="60C6179E"/>
    <w:rsid w:val="60D56947"/>
    <w:rsid w:val="60E15FD1"/>
    <w:rsid w:val="613E0F16"/>
    <w:rsid w:val="614A7F49"/>
    <w:rsid w:val="6161638A"/>
    <w:rsid w:val="61673AA9"/>
    <w:rsid w:val="619479EE"/>
    <w:rsid w:val="61EE2EC3"/>
    <w:rsid w:val="620377C6"/>
    <w:rsid w:val="620C4AC7"/>
    <w:rsid w:val="62357883"/>
    <w:rsid w:val="62411F88"/>
    <w:rsid w:val="62671B73"/>
    <w:rsid w:val="62DC61A2"/>
    <w:rsid w:val="63020661"/>
    <w:rsid w:val="6317190E"/>
    <w:rsid w:val="634A4DC1"/>
    <w:rsid w:val="635051A2"/>
    <w:rsid w:val="6371014B"/>
    <w:rsid w:val="63754F1B"/>
    <w:rsid w:val="63760A8D"/>
    <w:rsid w:val="63915447"/>
    <w:rsid w:val="63A61EFA"/>
    <w:rsid w:val="63B52EA6"/>
    <w:rsid w:val="63CB03F2"/>
    <w:rsid w:val="63D266A9"/>
    <w:rsid w:val="63D74643"/>
    <w:rsid w:val="63FC190E"/>
    <w:rsid w:val="64030DF0"/>
    <w:rsid w:val="64355B39"/>
    <w:rsid w:val="647719BE"/>
    <w:rsid w:val="6480225B"/>
    <w:rsid w:val="64B04047"/>
    <w:rsid w:val="64C57431"/>
    <w:rsid w:val="64CC5BF3"/>
    <w:rsid w:val="64E4395C"/>
    <w:rsid w:val="64FD6715"/>
    <w:rsid w:val="65472B07"/>
    <w:rsid w:val="655449A5"/>
    <w:rsid w:val="656F5E71"/>
    <w:rsid w:val="65B963C9"/>
    <w:rsid w:val="65EB0C41"/>
    <w:rsid w:val="66010558"/>
    <w:rsid w:val="6615510B"/>
    <w:rsid w:val="66216982"/>
    <w:rsid w:val="66306CD4"/>
    <w:rsid w:val="66694F2E"/>
    <w:rsid w:val="66B65D18"/>
    <w:rsid w:val="66C450C4"/>
    <w:rsid w:val="67B03D91"/>
    <w:rsid w:val="67B370F3"/>
    <w:rsid w:val="67B9643A"/>
    <w:rsid w:val="67DB2C0A"/>
    <w:rsid w:val="68200F3C"/>
    <w:rsid w:val="68245971"/>
    <w:rsid w:val="68706096"/>
    <w:rsid w:val="68B639B3"/>
    <w:rsid w:val="69155045"/>
    <w:rsid w:val="691845F2"/>
    <w:rsid w:val="691A0CA8"/>
    <w:rsid w:val="69681FD6"/>
    <w:rsid w:val="698D6806"/>
    <w:rsid w:val="69901DD8"/>
    <w:rsid w:val="69A62036"/>
    <w:rsid w:val="69B35352"/>
    <w:rsid w:val="69D964A1"/>
    <w:rsid w:val="69E93C5A"/>
    <w:rsid w:val="6A065B2A"/>
    <w:rsid w:val="6A0D7E83"/>
    <w:rsid w:val="6A171A61"/>
    <w:rsid w:val="6A18310E"/>
    <w:rsid w:val="6A5B4343"/>
    <w:rsid w:val="6A604011"/>
    <w:rsid w:val="6A9C1446"/>
    <w:rsid w:val="6AB538B9"/>
    <w:rsid w:val="6AF65188"/>
    <w:rsid w:val="6B0B49DB"/>
    <w:rsid w:val="6B266BC5"/>
    <w:rsid w:val="6B3E1D84"/>
    <w:rsid w:val="6B7F5DAA"/>
    <w:rsid w:val="6B9B41FC"/>
    <w:rsid w:val="6BC02D63"/>
    <w:rsid w:val="6BC166F5"/>
    <w:rsid w:val="6BE10979"/>
    <w:rsid w:val="6BF64B5E"/>
    <w:rsid w:val="6C060A73"/>
    <w:rsid w:val="6C340E7B"/>
    <w:rsid w:val="6C842A8C"/>
    <w:rsid w:val="6CB13BA4"/>
    <w:rsid w:val="6CC1013D"/>
    <w:rsid w:val="6D232A0E"/>
    <w:rsid w:val="6D2B5F50"/>
    <w:rsid w:val="6D3A4C1E"/>
    <w:rsid w:val="6D441BF4"/>
    <w:rsid w:val="6D6F08C9"/>
    <w:rsid w:val="6D8F7D64"/>
    <w:rsid w:val="6DC45DF0"/>
    <w:rsid w:val="6E187212"/>
    <w:rsid w:val="6E20794E"/>
    <w:rsid w:val="6EB37440"/>
    <w:rsid w:val="6ECE5FD9"/>
    <w:rsid w:val="6EF911FB"/>
    <w:rsid w:val="6EFE2F01"/>
    <w:rsid w:val="6F6E7354"/>
    <w:rsid w:val="6F76737A"/>
    <w:rsid w:val="6FBC09C7"/>
    <w:rsid w:val="6FD2624B"/>
    <w:rsid w:val="6FEF16D9"/>
    <w:rsid w:val="703528DD"/>
    <w:rsid w:val="7050434C"/>
    <w:rsid w:val="705F42A7"/>
    <w:rsid w:val="707B6D1C"/>
    <w:rsid w:val="707F2DD3"/>
    <w:rsid w:val="709F6728"/>
    <w:rsid w:val="70A036AF"/>
    <w:rsid w:val="70E0514D"/>
    <w:rsid w:val="712947A7"/>
    <w:rsid w:val="71563D66"/>
    <w:rsid w:val="71843001"/>
    <w:rsid w:val="719C091A"/>
    <w:rsid w:val="71B4578D"/>
    <w:rsid w:val="71B903B6"/>
    <w:rsid w:val="71BD017F"/>
    <w:rsid w:val="71C3770E"/>
    <w:rsid w:val="720A7752"/>
    <w:rsid w:val="720D08FC"/>
    <w:rsid w:val="722045C8"/>
    <w:rsid w:val="7275252F"/>
    <w:rsid w:val="727A130A"/>
    <w:rsid w:val="72850B4F"/>
    <w:rsid w:val="728D5443"/>
    <w:rsid w:val="72A459C1"/>
    <w:rsid w:val="72AB777F"/>
    <w:rsid w:val="72C662B5"/>
    <w:rsid w:val="72C6717D"/>
    <w:rsid w:val="72E67B96"/>
    <w:rsid w:val="730A6BA2"/>
    <w:rsid w:val="739211B7"/>
    <w:rsid w:val="73985D3B"/>
    <w:rsid w:val="73997EF2"/>
    <w:rsid w:val="73B048AF"/>
    <w:rsid w:val="73D6371A"/>
    <w:rsid w:val="73E93365"/>
    <w:rsid w:val="73ED61F4"/>
    <w:rsid w:val="74193420"/>
    <w:rsid w:val="741E2504"/>
    <w:rsid w:val="747378ED"/>
    <w:rsid w:val="74984FFF"/>
    <w:rsid w:val="74C32C73"/>
    <w:rsid w:val="74D001C3"/>
    <w:rsid w:val="74F31E31"/>
    <w:rsid w:val="74FD3873"/>
    <w:rsid w:val="75235B0A"/>
    <w:rsid w:val="75317850"/>
    <w:rsid w:val="755E0705"/>
    <w:rsid w:val="758F2C08"/>
    <w:rsid w:val="75A37B84"/>
    <w:rsid w:val="75C5509D"/>
    <w:rsid w:val="75C7537B"/>
    <w:rsid w:val="75F33E8D"/>
    <w:rsid w:val="75F4779A"/>
    <w:rsid w:val="75F64EF8"/>
    <w:rsid w:val="760D3140"/>
    <w:rsid w:val="7642132F"/>
    <w:rsid w:val="765E7D8C"/>
    <w:rsid w:val="766E4DBE"/>
    <w:rsid w:val="766F7814"/>
    <w:rsid w:val="768555BB"/>
    <w:rsid w:val="76B61CE8"/>
    <w:rsid w:val="76E225FD"/>
    <w:rsid w:val="76E9688D"/>
    <w:rsid w:val="76F17599"/>
    <w:rsid w:val="76F50A22"/>
    <w:rsid w:val="77030227"/>
    <w:rsid w:val="770F1094"/>
    <w:rsid w:val="77361F86"/>
    <w:rsid w:val="7742388B"/>
    <w:rsid w:val="77505F25"/>
    <w:rsid w:val="775F17D3"/>
    <w:rsid w:val="776747C9"/>
    <w:rsid w:val="77953FAA"/>
    <w:rsid w:val="77C23F7A"/>
    <w:rsid w:val="77CB60FA"/>
    <w:rsid w:val="77CF229A"/>
    <w:rsid w:val="78312C69"/>
    <w:rsid w:val="784A1FA1"/>
    <w:rsid w:val="78537BB4"/>
    <w:rsid w:val="785D4840"/>
    <w:rsid w:val="7863274F"/>
    <w:rsid w:val="787B147E"/>
    <w:rsid w:val="78C16DBE"/>
    <w:rsid w:val="78F65A4C"/>
    <w:rsid w:val="79382508"/>
    <w:rsid w:val="79AA4F66"/>
    <w:rsid w:val="79C95239"/>
    <w:rsid w:val="7A0912FC"/>
    <w:rsid w:val="7A2429C4"/>
    <w:rsid w:val="7A274492"/>
    <w:rsid w:val="7A283B04"/>
    <w:rsid w:val="7A564E5D"/>
    <w:rsid w:val="7A5B1B8C"/>
    <w:rsid w:val="7A5E7C70"/>
    <w:rsid w:val="7A73790A"/>
    <w:rsid w:val="7A9E5BB8"/>
    <w:rsid w:val="7ABA2A8C"/>
    <w:rsid w:val="7AC41B5C"/>
    <w:rsid w:val="7AD06704"/>
    <w:rsid w:val="7AD724D0"/>
    <w:rsid w:val="7ADB5413"/>
    <w:rsid w:val="7ADD3F0D"/>
    <w:rsid w:val="7ADF0FEC"/>
    <w:rsid w:val="7AEE11F4"/>
    <w:rsid w:val="7B15611A"/>
    <w:rsid w:val="7B172A5B"/>
    <w:rsid w:val="7B28202F"/>
    <w:rsid w:val="7B472F0F"/>
    <w:rsid w:val="7B510D25"/>
    <w:rsid w:val="7B9057C4"/>
    <w:rsid w:val="7B950B02"/>
    <w:rsid w:val="7BC83E5A"/>
    <w:rsid w:val="7C3A6597"/>
    <w:rsid w:val="7C5D571C"/>
    <w:rsid w:val="7C685F4B"/>
    <w:rsid w:val="7CC74B8B"/>
    <w:rsid w:val="7CC86FA1"/>
    <w:rsid w:val="7CCA0D84"/>
    <w:rsid w:val="7D1F767D"/>
    <w:rsid w:val="7D2B4E2F"/>
    <w:rsid w:val="7D985A54"/>
    <w:rsid w:val="7DB853F1"/>
    <w:rsid w:val="7DE57B2C"/>
    <w:rsid w:val="7DEA5AA8"/>
    <w:rsid w:val="7DF1514B"/>
    <w:rsid w:val="7E111872"/>
    <w:rsid w:val="7E1B4A7A"/>
    <w:rsid w:val="7E245DE3"/>
    <w:rsid w:val="7E5548C3"/>
    <w:rsid w:val="7E5E0214"/>
    <w:rsid w:val="7EE82F79"/>
    <w:rsid w:val="7F0F7892"/>
    <w:rsid w:val="7F177F1F"/>
    <w:rsid w:val="7F482DA4"/>
    <w:rsid w:val="7F6A08EC"/>
    <w:rsid w:val="7FFE4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numPr>
        <w:ilvl w:val="3"/>
        <w:numId w:val="1"/>
      </w:numPr>
      <w:tabs>
        <w:tab w:val="left" w:pos="720"/>
      </w:tabs>
      <w:spacing w:line="300" w:lineRule="auto"/>
      <w:outlineLvl w:val="0"/>
    </w:pPr>
    <w:rPr>
      <w:b/>
      <w:bCs/>
      <w:sz w:val="24"/>
    </w:rPr>
  </w:style>
  <w:style w:type="paragraph" w:styleId="3">
    <w:name w:val="heading 2"/>
    <w:basedOn w:val="1"/>
    <w:next w:val="1"/>
    <w:unhideWhenUsed/>
    <w:qFormat/>
    <w:uiPriority w:val="0"/>
    <w:pPr>
      <w:keepNext/>
      <w:keepLines/>
      <w:numPr>
        <w:ilvl w:val="1"/>
        <w:numId w:val="1"/>
      </w:numPr>
      <w:tabs>
        <w:tab w:val="left" w:pos="720"/>
      </w:tab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5"/>
    <w:autoRedefine/>
    <w:unhideWhenUsed/>
    <w:qFormat/>
    <w:uiPriority w:val="0"/>
    <w:pPr>
      <w:keepNext/>
      <w:keepLines/>
      <w:numPr>
        <w:ilvl w:val="2"/>
        <w:numId w:val="1"/>
      </w:numPr>
      <w:tabs>
        <w:tab w:val="left" w:pos="720"/>
      </w:tabs>
      <w:adjustRightInd w:val="0"/>
      <w:spacing w:before="260" w:after="260" w:line="416" w:lineRule="atLeast"/>
      <w:jc w:val="left"/>
      <w:textAlignment w:val="baseline"/>
      <w:outlineLvl w:val="2"/>
    </w:pPr>
    <w:rPr>
      <w:b/>
      <w:sz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tabs>
        <w:tab w:val="left" w:pos="750"/>
      </w:tabs>
      <w:spacing w:beforeLines="50" w:line="300" w:lineRule="auto"/>
      <w:ind w:firstLine="200" w:firstLineChars="200"/>
    </w:pPr>
    <w:rPr>
      <w:rFonts w:ascii="宋体"/>
      <w:szCs w:val="20"/>
    </w:rPr>
  </w:style>
  <w:style w:type="paragraph" w:styleId="6">
    <w:name w:val="Document Map"/>
    <w:basedOn w:val="1"/>
    <w:autoRedefine/>
    <w:qFormat/>
    <w:uiPriority w:val="0"/>
    <w:pPr>
      <w:shd w:val="clear" w:color="auto" w:fill="000080"/>
    </w:pPr>
  </w:style>
  <w:style w:type="paragraph" w:styleId="7">
    <w:name w:val="annotation text"/>
    <w:basedOn w:val="1"/>
    <w:autoRedefine/>
    <w:qFormat/>
    <w:uiPriority w:val="0"/>
    <w:pPr>
      <w:jc w:val="left"/>
    </w:pPr>
    <w:rPr>
      <w:sz w:val="28"/>
      <w:szCs w:val="20"/>
    </w:rPr>
  </w:style>
  <w:style w:type="paragraph" w:styleId="8">
    <w:name w:val="index 6"/>
    <w:basedOn w:val="1"/>
    <w:next w:val="1"/>
    <w:autoRedefine/>
    <w:qFormat/>
    <w:uiPriority w:val="0"/>
    <w:pPr>
      <w:spacing w:line="538" w:lineRule="atLeast"/>
      <w:ind w:left="2100" w:firstLine="623"/>
      <w:textAlignment w:val="baseline"/>
    </w:pPr>
    <w:rPr>
      <w:rFonts w:eastAsia="仿宋_GB2312"/>
      <w:color w:val="000000"/>
      <w:sz w:val="31"/>
      <w:u w:color="000000"/>
      <w:shd w:val="clear" w:color="auto" w:fill="CCFFCC"/>
    </w:rPr>
  </w:style>
  <w:style w:type="paragraph" w:styleId="9">
    <w:name w:val="Body Text"/>
    <w:basedOn w:val="1"/>
    <w:next w:val="10"/>
    <w:autoRedefine/>
    <w:qFormat/>
    <w:uiPriority w:val="0"/>
    <w:rPr>
      <w:rFonts w:ascii="金山简黑体" w:hAnsi="金山简黑体" w:eastAsia="金山简黑体"/>
      <w:b/>
      <w:spacing w:val="-8"/>
      <w:sz w:val="44"/>
      <w:szCs w:val="20"/>
    </w:rPr>
  </w:style>
  <w:style w:type="paragraph" w:styleId="10">
    <w:name w:val="toc 5"/>
    <w:basedOn w:val="1"/>
    <w:next w:val="1"/>
    <w:autoRedefine/>
    <w:qFormat/>
    <w:uiPriority w:val="0"/>
    <w:pPr>
      <w:ind w:left="840"/>
      <w:jc w:val="left"/>
    </w:pPr>
    <w:rPr>
      <w:sz w:val="18"/>
      <w:szCs w:val="18"/>
    </w:rPr>
  </w:style>
  <w:style w:type="paragraph" w:styleId="11">
    <w:name w:val="Body Text Indent"/>
    <w:basedOn w:val="1"/>
    <w:next w:val="12"/>
    <w:autoRedefine/>
    <w:qFormat/>
    <w:uiPriority w:val="0"/>
    <w:pPr>
      <w:spacing w:line="300" w:lineRule="auto"/>
      <w:ind w:left="840"/>
    </w:pPr>
    <w:rPr>
      <w:sz w:val="24"/>
    </w:rPr>
  </w:style>
  <w:style w:type="paragraph" w:styleId="12">
    <w:name w:val="envelope return"/>
    <w:basedOn w:val="1"/>
    <w:autoRedefine/>
    <w:qFormat/>
    <w:uiPriority w:val="0"/>
    <w:pPr>
      <w:snapToGrid w:val="0"/>
    </w:pPr>
    <w:rPr>
      <w:rFonts w:ascii="Arial" w:hAnsi="Arial"/>
    </w:rPr>
  </w:style>
  <w:style w:type="paragraph" w:styleId="13">
    <w:name w:val="Block Text"/>
    <w:basedOn w:val="1"/>
    <w:next w:val="1"/>
    <w:autoRedefine/>
    <w:qFormat/>
    <w:uiPriority w:val="0"/>
    <w:pPr>
      <w:widowControl/>
      <w:ind w:left="1440" w:leftChars="700" w:right="1440" w:rightChars="700"/>
      <w:jc w:val="left"/>
    </w:pPr>
    <w:rPr>
      <w:rFonts w:ascii="Calibri" w:hAnsi="Calibri" w:cs="Calibri"/>
      <w:kern w:val="0"/>
      <w:sz w:val="20"/>
      <w:szCs w:val="20"/>
    </w:rPr>
  </w:style>
  <w:style w:type="paragraph" w:styleId="14">
    <w:name w:val="toc 3"/>
    <w:basedOn w:val="1"/>
    <w:next w:val="1"/>
    <w:autoRedefine/>
    <w:qFormat/>
    <w:uiPriority w:val="39"/>
    <w:pPr>
      <w:ind w:left="840" w:leftChars="400"/>
    </w:pPr>
  </w:style>
  <w:style w:type="paragraph" w:styleId="15">
    <w:name w:val="Plain Text"/>
    <w:basedOn w:val="1"/>
    <w:next w:val="1"/>
    <w:autoRedefine/>
    <w:qFormat/>
    <w:uiPriority w:val="0"/>
    <w:rPr>
      <w:rFonts w:ascii="宋体"/>
    </w:rPr>
  </w:style>
  <w:style w:type="paragraph" w:styleId="16">
    <w:name w:val="Date"/>
    <w:basedOn w:val="1"/>
    <w:next w:val="1"/>
    <w:link w:val="32"/>
    <w:autoRedefine/>
    <w:qFormat/>
    <w:uiPriority w:val="0"/>
    <w:pPr>
      <w:ind w:left="100" w:leftChars="2500"/>
    </w:pPr>
  </w:style>
  <w:style w:type="paragraph" w:styleId="17">
    <w:name w:val="Balloon Text"/>
    <w:basedOn w:val="1"/>
    <w:link w:val="33"/>
    <w:autoRedefine/>
    <w:qFormat/>
    <w:uiPriority w:val="0"/>
    <w:rPr>
      <w:sz w:val="18"/>
      <w:szCs w:val="18"/>
    </w:rPr>
  </w:style>
  <w:style w:type="paragraph" w:styleId="18">
    <w:name w:val="footer"/>
    <w:basedOn w:val="1"/>
    <w:link w:val="63"/>
    <w:autoRedefine/>
    <w:qFormat/>
    <w:uiPriority w:val="99"/>
    <w:pPr>
      <w:tabs>
        <w:tab w:val="center" w:pos="4153"/>
        <w:tab w:val="right" w:pos="8306"/>
      </w:tabs>
      <w:snapToGrid w:val="0"/>
      <w:jc w:val="left"/>
    </w:pPr>
    <w:rPr>
      <w:sz w:val="18"/>
    </w:rPr>
  </w:style>
  <w:style w:type="paragraph" w:styleId="19">
    <w:name w:val="header"/>
    <w:basedOn w:val="1"/>
    <w:autoRedefine/>
    <w:qFormat/>
    <w:uiPriority w:val="0"/>
    <w:pPr>
      <w:tabs>
        <w:tab w:val="center" w:pos="4153"/>
        <w:tab w:val="right" w:pos="8306"/>
      </w:tabs>
      <w:snapToGrid w:val="0"/>
      <w:jc w:val="center"/>
    </w:pPr>
    <w:rPr>
      <w:sz w:val="18"/>
    </w:rPr>
  </w:style>
  <w:style w:type="paragraph" w:styleId="20">
    <w:name w:val="toc 1"/>
    <w:basedOn w:val="1"/>
    <w:next w:val="1"/>
    <w:autoRedefine/>
    <w:qFormat/>
    <w:uiPriority w:val="39"/>
    <w:pPr>
      <w:adjustRightInd w:val="0"/>
      <w:spacing w:line="360" w:lineRule="atLeast"/>
      <w:jc w:val="left"/>
      <w:textAlignment w:val="baseline"/>
    </w:pPr>
    <w:rPr>
      <w:kern w:val="0"/>
      <w:sz w:val="24"/>
    </w:rPr>
  </w:style>
  <w:style w:type="paragraph" w:styleId="21">
    <w:name w:val="toc 2"/>
    <w:basedOn w:val="1"/>
    <w:next w:val="1"/>
    <w:autoRedefine/>
    <w:qFormat/>
    <w:uiPriority w:val="39"/>
    <w:pPr>
      <w:adjustRightInd w:val="0"/>
      <w:spacing w:line="360" w:lineRule="atLeast"/>
      <w:ind w:left="420" w:leftChars="200"/>
      <w:jc w:val="left"/>
      <w:textAlignment w:val="baseline"/>
    </w:pPr>
    <w:rPr>
      <w:kern w:val="0"/>
      <w:sz w:val="24"/>
    </w:r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11"/>
    <w:next w:val="13"/>
    <w:autoRedefine/>
    <w:qFormat/>
    <w:uiPriority w:val="0"/>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FollowedHyperlink"/>
    <w:basedOn w:val="26"/>
    <w:autoRedefine/>
    <w:qFormat/>
    <w:uiPriority w:val="0"/>
    <w:rPr>
      <w:rFonts w:hint="eastAsia" w:ascii="宋体" w:hAnsi="宋体" w:eastAsia="宋体" w:cs="宋体"/>
      <w:color w:val="0033CC"/>
      <w:sz w:val="18"/>
      <w:szCs w:val="18"/>
      <w:u w:val="none"/>
    </w:rPr>
  </w:style>
  <w:style w:type="character" w:styleId="30">
    <w:name w:val="Hyperlink"/>
    <w:basedOn w:val="26"/>
    <w:autoRedefine/>
    <w:qFormat/>
    <w:uiPriority w:val="99"/>
    <w:rPr>
      <w:rFonts w:hint="eastAsia" w:ascii="宋体" w:hAnsi="宋体" w:eastAsia="宋体" w:cs="宋体"/>
      <w:color w:val="0033CC"/>
      <w:sz w:val="18"/>
      <w:szCs w:val="18"/>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日期 Char"/>
    <w:basedOn w:val="26"/>
    <w:link w:val="16"/>
    <w:autoRedefine/>
    <w:qFormat/>
    <w:uiPriority w:val="0"/>
    <w:rPr>
      <w:kern w:val="2"/>
      <w:sz w:val="21"/>
      <w:szCs w:val="22"/>
    </w:rPr>
  </w:style>
  <w:style w:type="character" w:customStyle="1" w:styleId="33">
    <w:name w:val="批注框文本 Char"/>
    <w:basedOn w:val="26"/>
    <w:link w:val="17"/>
    <w:autoRedefine/>
    <w:qFormat/>
    <w:uiPriority w:val="0"/>
    <w:rPr>
      <w:rFonts w:ascii="Times New Roman" w:hAnsi="Times New Roman" w:eastAsia="宋体" w:cs="Times New Roman"/>
      <w:kern w:val="2"/>
      <w:sz w:val="18"/>
      <w:szCs w:val="18"/>
    </w:rPr>
  </w:style>
  <w:style w:type="paragraph" w:customStyle="1" w:styleId="34">
    <w:name w:val="Char Char Char2 Char Char Char Char Char Char"/>
    <w:basedOn w:val="1"/>
    <w:autoRedefine/>
    <w:qFormat/>
    <w:uiPriority w:val="0"/>
    <w:pPr>
      <w:snapToGrid w:val="0"/>
      <w:jc w:val="center"/>
    </w:pPr>
  </w:style>
  <w:style w:type="paragraph" w:customStyle="1" w:styleId="35">
    <w:name w:val="4表中文字"/>
    <w:basedOn w:val="1"/>
    <w:autoRedefine/>
    <w:qFormat/>
    <w:uiPriority w:val="0"/>
    <w:pPr>
      <w:tabs>
        <w:tab w:val="left" w:pos="6195"/>
      </w:tabs>
      <w:autoSpaceDE w:val="0"/>
      <w:autoSpaceDN w:val="0"/>
      <w:adjustRightInd w:val="0"/>
      <w:jc w:val="center"/>
    </w:pPr>
    <w:rPr>
      <w:rFonts w:eastAsia="仿宋_GB2312"/>
    </w:rPr>
  </w:style>
  <w:style w:type="paragraph" w:customStyle="1" w:styleId="36">
    <w:name w:val="_Style 2"/>
    <w:basedOn w:val="1"/>
    <w:autoRedefine/>
    <w:qFormat/>
    <w:uiPriority w:val="34"/>
    <w:pPr>
      <w:ind w:firstLine="420" w:firstLineChars="200"/>
    </w:pPr>
    <w:rPr>
      <w:rFonts w:ascii="Calibri" w:hAnsi="Calibri"/>
    </w:rPr>
  </w:style>
  <w:style w:type="paragraph" w:customStyle="1" w:styleId="3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38">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9">
    <w:name w:val="列出段落1"/>
    <w:basedOn w:val="1"/>
    <w:autoRedefine/>
    <w:unhideWhenUsed/>
    <w:qFormat/>
    <w:uiPriority w:val="34"/>
    <w:pPr>
      <w:ind w:firstLine="420" w:firstLineChars="200"/>
    </w:pPr>
  </w:style>
  <w:style w:type="paragraph" w:customStyle="1" w:styleId="40">
    <w:name w:val="列出段落11"/>
    <w:basedOn w:val="1"/>
    <w:autoRedefine/>
    <w:qFormat/>
    <w:uiPriority w:val="34"/>
    <w:pPr>
      <w:ind w:firstLine="420" w:firstLineChars="200"/>
    </w:pPr>
    <w:rPr>
      <w:szCs w:val="24"/>
    </w:rPr>
  </w:style>
  <w:style w:type="paragraph" w:customStyle="1" w:styleId="41">
    <w:name w:val="img"/>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3">
    <w:name w:val="表格样式2"/>
    <w:basedOn w:val="1"/>
    <w:autoRedefine/>
    <w:qFormat/>
    <w:uiPriority w:val="0"/>
    <w:pPr>
      <w:widowControl/>
      <w:spacing w:line="276" w:lineRule="auto"/>
      <w:jc w:val="left"/>
    </w:pPr>
    <w:rPr>
      <w:rFonts w:ascii="仿宋_GB2312" w:hAnsi="宋体" w:eastAsia="仿宋_GB2312"/>
      <w:kern w:val="0"/>
      <w:sz w:val="18"/>
      <w:szCs w:val="18"/>
      <w:lang w:bidi="en-US"/>
    </w:rPr>
  </w:style>
  <w:style w:type="paragraph" w:customStyle="1" w:styleId="44">
    <w:name w:val="列表段落1"/>
    <w:basedOn w:val="1"/>
    <w:autoRedefine/>
    <w:qFormat/>
    <w:uiPriority w:val="34"/>
    <w:pPr>
      <w:ind w:firstLine="420" w:firstLineChars="200"/>
    </w:pPr>
    <w:rPr>
      <w:rFonts w:ascii="Calibri" w:hAnsi="Calibri"/>
    </w:rPr>
  </w:style>
  <w:style w:type="paragraph" w:customStyle="1" w:styleId="45">
    <w:name w:val="TOC 标题1"/>
    <w:basedOn w:val="2"/>
    <w:next w:val="1"/>
    <w:autoRedefine/>
    <w:unhideWhenUsed/>
    <w:qFormat/>
    <w:uiPriority w:val="39"/>
    <w:pPr>
      <w:tabs>
        <w:tab w:val="clear" w:pos="720"/>
      </w:tabs>
      <w:spacing w:before="24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46">
    <w:name w:val="List Paragraph1"/>
    <w:basedOn w:val="1"/>
    <w:autoRedefine/>
    <w:qFormat/>
    <w:uiPriority w:val="99"/>
    <w:pPr>
      <w:ind w:firstLine="420" w:firstLineChars="200"/>
    </w:pPr>
  </w:style>
  <w:style w:type="paragraph" w:customStyle="1" w:styleId="47">
    <w:name w:val="横表格"/>
    <w:basedOn w:val="1"/>
    <w:autoRedefine/>
    <w:qFormat/>
    <w:uiPriority w:val="0"/>
    <w:pPr>
      <w:tabs>
        <w:tab w:val="left" w:pos="1200"/>
      </w:tabs>
      <w:spacing w:line="360" w:lineRule="exact"/>
      <w:ind w:right="-41" w:rightChars="-41"/>
      <w:jc w:val="center"/>
    </w:pPr>
    <w:rPr>
      <w:rFonts w:ascii="宋体"/>
      <w:szCs w:val="20"/>
    </w:rPr>
  </w:style>
  <w:style w:type="paragraph" w:customStyle="1" w:styleId="48">
    <w:name w:val="表格"/>
    <w:basedOn w:val="1"/>
    <w:autoRedefine/>
    <w:qFormat/>
    <w:uiPriority w:val="0"/>
    <w:pPr>
      <w:tabs>
        <w:tab w:val="left" w:pos="1200"/>
      </w:tabs>
      <w:spacing w:line="500" w:lineRule="exact"/>
      <w:jc w:val="center"/>
    </w:pPr>
    <w:rPr>
      <w:rFonts w:ascii="宋体"/>
      <w:sz w:val="24"/>
      <w:szCs w:val="18"/>
    </w:rPr>
  </w:style>
  <w:style w:type="paragraph" w:customStyle="1" w:styleId="49">
    <w:name w:val="样式 样式 首行缩进:  2.57 字符 + 首行缩进:  2.57 字符"/>
    <w:basedOn w:val="1"/>
    <w:autoRedefine/>
    <w:qFormat/>
    <w:uiPriority w:val="0"/>
    <w:pPr>
      <w:spacing w:line="360" w:lineRule="auto"/>
      <w:ind w:firstLine="771" w:firstLineChars="257"/>
    </w:pPr>
    <w:rPr>
      <w:rFonts w:eastAsia="仿宋" w:cs="宋体"/>
      <w:sz w:val="30"/>
      <w:szCs w:val="30"/>
    </w:rPr>
  </w:style>
  <w:style w:type="character" w:customStyle="1" w:styleId="50">
    <w:name w:val="qxdate"/>
    <w:basedOn w:val="26"/>
    <w:autoRedefine/>
    <w:qFormat/>
    <w:uiPriority w:val="0"/>
    <w:rPr>
      <w:color w:val="333333"/>
      <w:sz w:val="12"/>
      <w:szCs w:val="12"/>
    </w:rPr>
  </w:style>
  <w:style w:type="character" w:customStyle="1" w:styleId="51">
    <w:name w:val="cfdate"/>
    <w:basedOn w:val="26"/>
    <w:autoRedefine/>
    <w:qFormat/>
    <w:uiPriority w:val="0"/>
    <w:rPr>
      <w:color w:val="333333"/>
      <w:sz w:val="12"/>
      <w:szCs w:val="12"/>
    </w:rPr>
  </w:style>
  <w:style w:type="character" w:customStyle="1" w:styleId="52">
    <w:name w:val="next"/>
    <w:basedOn w:val="26"/>
    <w:autoRedefine/>
    <w:qFormat/>
    <w:uiPriority w:val="0"/>
    <w:rPr>
      <w:rFonts w:ascii="微软雅黑" w:hAnsi="微软雅黑" w:eastAsia="微软雅黑" w:cs="微软雅黑"/>
      <w:sz w:val="14"/>
      <w:szCs w:val="14"/>
    </w:rPr>
  </w:style>
  <w:style w:type="character" w:customStyle="1" w:styleId="53">
    <w:name w:val="redfilenumber"/>
    <w:basedOn w:val="26"/>
    <w:autoRedefine/>
    <w:qFormat/>
    <w:uiPriority w:val="0"/>
    <w:rPr>
      <w:color w:val="BA2636"/>
      <w:sz w:val="12"/>
      <w:szCs w:val="12"/>
    </w:rPr>
  </w:style>
  <w:style w:type="character" w:customStyle="1" w:styleId="54">
    <w:name w:val="gjfg"/>
    <w:basedOn w:val="26"/>
    <w:autoRedefine/>
    <w:qFormat/>
    <w:uiPriority w:val="0"/>
  </w:style>
  <w:style w:type="character" w:customStyle="1" w:styleId="55">
    <w:name w:val="redfilefwwh"/>
    <w:basedOn w:val="26"/>
    <w:autoRedefine/>
    <w:qFormat/>
    <w:uiPriority w:val="0"/>
    <w:rPr>
      <w:color w:val="BA2636"/>
      <w:sz w:val="12"/>
      <w:szCs w:val="12"/>
    </w:rPr>
  </w:style>
  <w:style w:type="character" w:customStyle="1" w:styleId="56">
    <w:name w:val="displayarti"/>
    <w:basedOn w:val="26"/>
    <w:autoRedefine/>
    <w:qFormat/>
    <w:uiPriority w:val="0"/>
    <w:rPr>
      <w:color w:val="FFFFFF"/>
      <w:shd w:val="clear" w:color="auto" w:fill="A00000"/>
    </w:rPr>
  </w:style>
  <w:style w:type="character" w:customStyle="1" w:styleId="57">
    <w:name w:val="prev"/>
    <w:basedOn w:val="26"/>
    <w:autoRedefine/>
    <w:qFormat/>
    <w:uiPriority w:val="0"/>
    <w:rPr>
      <w:rFonts w:hint="eastAsia" w:ascii="微软雅黑" w:hAnsi="微软雅黑" w:eastAsia="微软雅黑" w:cs="微软雅黑"/>
      <w:sz w:val="14"/>
      <w:szCs w:val="14"/>
    </w:rPr>
  </w:style>
  <w:style w:type="character" w:customStyle="1" w:styleId="58">
    <w:name w:val="prev1"/>
    <w:basedOn w:val="26"/>
    <w:autoRedefine/>
    <w:qFormat/>
    <w:uiPriority w:val="0"/>
    <w:rPr>
      <w:color w:val="888888"/>
    </w:rPr>
  </w:style>
  <w:style w:type="character" w:customStyle="1" w:styleId="59">
    <w:name w:val="next1"/>
    <w:basedOn w:val="26"/>
    <w:autoRedefine/>
    <w:qFormat/>
    <w:uiPriority w:val="0"/>
    <w:rPr>
      <w:color w:val="888888"/>
    </w:rPr>
  </w:style>
  <w:style w:type="paragraph" w:customStyle="1" w:styleId="60">
    <w:name w:val="TOC 标题2"/>
    <w:basedOn w:val="2"/>
    <w:next w:val="1"/>
    <w:autoRedefine/>
    <w:unhideWhenUsed/>
    <w:qFormat/>
    <w:uiPriority w:val="39"/>
    <w:pPr>
      <w:keepLines/>
      <w:widowControl/>
      <w:numPr>
        <w:ilvl w:val="0"/>
        <w:numId w:val="0"/>
      </w:numPr>
      <w:tabs>
        <w:tab w:val="clear" w:pos="720"/>
        <w:tab w:val="clear" w:pos="1665"/>
      </w:tabs>
      <w:spacing w:before="24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61">
    <w:name w:val="列表段落2"/>
    <w:basedOn w:val="1"/>
    <w:autoRedefine/>
    <w:qFormat/>
    <w:uiPriority w:val="0"/>
    <w:pPr>
      <w:ind w:firstLine="420" w:firstLineChars="200"/>
    </w:pPr>
    <w:rPr>
      <w:rFonts w:ascii="Calibri" w:hAnsi="Calibri" w:cs="Calibri"/>
      <w:szCs w:val="21"/>
    </w:rPr>
  </w:style>
  <w:style w:type="paragraph" w:styleId="62">
    <w:name w:val="List Paragraph"/>
    <w:basedOn w:val="1"/>
    <w:autoRedefine/>
    <w:qFormat/>
    <w:uiPriority w:val="99"/>
    <w:pPr>
      <w:ind w:firstLine="420" w:firstLineChars="200"/>
    </w:pPr>
  </w:style>
  <w:style w:type="character" w:customStyle="1" w:styleId="63">
    <w:name w:val="页脚 Char"/>
    <w:basedOn w:val="26"/>
    <w:link w:val="18"/>
    <w:autoRedefine/>
    <w:qFormat/>
    <w:uiPriority w:val="99"/>
    <w:rPr>
      <w:kern w:val="2"/>
      <w:sz w:val="18"/>
      <w:szCs w:val="22"/>
    </w:rPr>
  </w:style>
  <w:style w:type="character" w:customStyle="1" w:styleId="64">
    <w:name w:val="s8"/>
    <w:basedOn w:val="26"/>
    <w:autoRedefine/>
    <w:qFormat/>
    <w:uiPriority w:val="0"/>
  </w:style>
  <w:style w:type="character" w:customStyle="1" w:styleId="65">
    <w:name w:val="apple-converted-space"/>
    <w:basedOn w:val="26"/>
    <w:autoRedefine/>
    <w:qFormat/>
    <w:uiPriority w:val="0"/>
  </w:style>
  <w:style w:type="character" w:customStyle="1" w:styleId="66">
    <w:name w:val="s9"/>
    <w:basedOn w:val="26"/>
    <w:autoRedefine/>
    <w:qFormat/>
    <w:uiPriority w:val="0"/>
  </w:style>
  <w:style w:type="character" w:customStyle="1" w:styleId="67">
    <w:name w:val="s6"/>
    <w:basedOn w:val="26"/>
    <w:autoRedefine/>
    <w:qFormat/>
    <w:uiPriority w:val="0"/>
  </w:style>
  <w:style w:type="paragraph" w:customStyle="1" w:styleId="68">
    <w:name w:val="s1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69">
    <w:name w:val="s12"/>
    <w:basedOn w:val="26"/>
    <w:autoRedefine/>
    <w:qFormat/>
    <w:uiPriority w:val="0"/>
  </w:style>
  <w:style w:type="character" w:customStyle="1" w:styleId="70">
    <w:name w:val="s13"/>
    <w:basedOn w:val="26"/>
    <w:autoRedefine/>
    <w:qFormat/>
    <w:uiPriority w:val="0"/>
  </w:style>
  <w:style w:type="paragraph" w:customStyle="1" w:styleId="71">
    <w:name w:val="s36"/>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2">
    <w:name w:val="bumpedfont20"/>
    <w:basedOn w:val="26"/>
    <w:autoRedefine/>
    <w:qFormat/>
    <w:uiPriority w:val="0"/>
  </w:style>
  <w:style w:type="character" w:customStyle="1" w:styleId="73">
    <w:name w:val="font11"/>
    <w:basedOn w:val="26"/>
    <w:autoRedefine/>
    <w:qFormat/>
    <w:uiPriority w:val="0"/>
    <w:rPr>
      <w:rFonts w:hint="eastAsia" w:ascii="宋体" w:hAnsi="宋体" w:eastAsia="宋体" w:cs="宋体"/>
      <w:color w:val="000000"/>
      <w:sz w:val="28"/>
      <w:szCs w:val="28"/>
      <w:u w:val="none"/>
    </w:rPr>
  </w:style>
  <w:style w:type="character" w:customStyle="1" w:styleId="74">
    <w:name w:val="font21"/>
    <w:basedOn w:val="26"/>
    <w:autoRedefine/>
    <w:qFormat/>
    <w:uiPriority w:val="0"/>
    <w:rPr>
      <w:rFonts w:ascii="Arial" w:hAnsi="Arial" w:cs="Arial"/>
      <w:color w:val="000000"/>
      <w:sz w:val="28"/>
      <w:szCs w:val="28"/>
      <w:u w:val="none"/>
    </w:rPr>
  </w:style>
  <w:style w:type="paragraph" w:customStyle="1" w:styleId="75">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character" w:customStyle="1" w:styleId="76">
    <w:name w:val="NormalCharacter"/>
    <w:autoRedefine/>
    <w:qFormat/>
    <w:uiPriority w:val="0"/>
  </w:style>
  <w:style w:type="paragraph" w:customStyle="1" w:styleId="77">
    <w:name w:val="修订1"/>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78">
    <w:name w:val="修订2"/>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79">
    <w:name w:val="Unresolved Mention"/>
    <w:basedOn w:val="2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DED24-1FD4-4EE6-9D1E-8343FC00A5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4151</Words>
  <Characters>4453</Characters>
  <Lines>170</Lines>
  <Paragraphs>47</Paragraphs>
  <TotalTime>2</TotalTime>
  <ScaleCrop>false</ScaleCrop>
  <LinksUpToDate>false</LinksUpToDate>
  <CharactersWithSpaces>4621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2025-06-08T13:17:00Z</dcterms:created>
  <dc:creator>Dell</dc:creator>
  <cp:lastModifiedBy>.</cp:lastModifiedBy>
  <cp:lastPrinted>2023-04-14T04:56:00Z</cp:lastPrinted>
  <dcterms:modified xsi:type="dcterms:W3CDTF">2025-06-09T07:36:12Z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2D0C101EA21243C4999D8644A441E701_13</vt:lpwstr>
  </property>
  <property fmtid="{D5CDD505-2E9C-101B-9397-08002B2CF9AE}" pid="4" name="KSOTemplateDocerSaveRecord">
    <vt:lpwstr>eyJoZGlkIjoiMzQ0MjRjN2M3YmQ1N2JjMjljMTE0MGZhYWJiNDkyZTAiLCJ1c2VySWQiOiI3NTYyMDQwMTkifQ==</vt:lpwstr>
  </property>
</Properties>
</file>